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  <w:r w:rsidRPr="007C3CCA">
        <w:rPr>
          <w:rFonts w:ascii="GHEA Grapalat" w:hAnsi="GHEA Grapalat" w:cs="Sylfaen"/>
          <w:b/>
          <w:sz w:val="18"/>
          <w:szCs w:val="14"/>
          <w:lang w:val="af-ZA"/>
        </w:rPr>
        <w:t>ՀԱՅՏԱՐԱՐՈՒԹՅՈՒՆ</w:t>
      </w:r>
    </w:p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8"/>
          <w:szCs w:val="14"/>
          <w:lang w:val="af-ZA"/>
        </w:rPr>
      </w:pPr>
    </w:p>
    <w:p w:rsidR="004D30C9" w:rsidRPr="006019C5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ՀՀ պաշտպանության նախարարությունը, ստորև ներկայացնում է իր կարիքների համար 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«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Բժշկական պարագաների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»</w:t>
      </w:r>
      <w:r>
        <w:rPr>
          <w:rFonts w:ascii="GHEA Grapalat" w:hAnsi="GHEA Grapalat"/>
          <w:b/>
          <w:i/>
          <w:color w:val="FF0000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ձեռքբերման նպատակով կազմակերպված </w:t>
      </w:r>
    </w:p>
    <w:p w:rsidR="004D30C9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>«ՀՀՊՆՆՏԱԴ-ԳՀԱՊՁԲ-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Pr="006019C5">
        <w:rPr>
          <w:rFonts w:ascii="GHEA Grapalat" w:hAnsi="GHEA Grapalat" w:cs="Sylfaen"/>
          <w:sz w:val="17"/>
          <w:szCs w:val="17"/>
          <w:lang w:val="af-ZA"/>
        </w:rPr>
        <w:t>» ծածկագրով գնման ընթացակարգի արդյունքում 201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թվականաի </w:t>
      </w:r>
      <w:r w:rsidR="00AC03D9">
        <w:rPr>
          <w:rFonts w:ascii="GHEA Grapalat" w:hAnsi="GHEA Grapalat" w:cs="Sylfaen"/>
          <w:b/>
          <w:sz w:val="17"/>
          <w:szCs w:val="17"/>
          <w:lang w:val="af-ZA"/>
        </w:rPr>
        <w:t>փետրվարի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 xml:space="preserve">  </w:t>
      </w:r>
      <w:r w:rsidR="00FA0CFF">
        <w:rPr>
          <w:rFonts w:ascii="GHEA Grapalat" w:hAnsi="GHEA Grapalat" w:cs="Sylfaen"/>
          <w:b/>
          <w:sz w:val="17"/>
          <w:szCs w:val="17"/>
          <w:lang w:val="af-ZA"/>
        </w:rPr>
        <w:t>08</w:t>
      </w:r>
      <w:r w:rsidRPr="006019C5">
        <w:rPr>
          <w:rFonts w:ascii="GHEA Grapalat" w:hAnsi="GHEA Grapalat" w:cs="Sylfaen"/>
          <w:sz w:val="17"/>
          <w:szCs w:val="17"/>
          <w:lang w:val="af-ZA"/>
        </w:rPr>
        <w:t>-ին կնքված 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Pr="006019C5">
        <w:rPr>
          <w:rFonts w:ascii="GHEA Grapalat" w:hAnsi="GHEA Grapalat" w:cs="Sylfaen"/>
          <w:sz w:val="17"/>
          <w:szCs w:val="17"/>
          <w:lang w:val="af-ZA"/>
        </w:rPr>
        <w:t>-1, 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2</w:t>
      </w:r>
      <w:r w:rsidRPr="006019C5">
        <w:rPr>
          <w:rFonts w:ascii="GHEA Grapalat" w:hAnsi="GHEA Grapalat" w:cs="Sylfaen"/>
          <w:sz w:val="17"/>
          <w:szCs w:val="17"/>
          <w:lang w:val="af-ZA"/>
        </w:rPr>
        <w:t>, 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3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,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4,           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5,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6,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79</w:t>
      </w:r>
      <w:r w:rsidR="003979AD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>պայմանագր</w:t>
      </w:r>
      <w:r>
        <w:rPr>
          <w:rFonts w:ascii="GHEA Grapalat" w:hAnsi="GHEA Grapalat" w:cs="Sylfaen"/>
          <w:sz w:val="17"/>
          <w:szCs w:val="17"/>
          <w:lang w:val="af-ZA"/>
        </w:rPr>
        <w:t>երի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 մասին տեղեկատվությունը:</w:t>
      </w:r>
    </w:p>
    <w:p w:rsidR="003B22F9" w:rsidRPr="00610A57" w:rsidRDefault="003B22F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5"/>
          <w:szCs w:val="17"/>
          <w:lang w:val="af-Z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8540"/>
        <w:gridCol w:w="1249"/>
        <w:gridCol w:w="1467"/>
        <w:gridCol w:w="1427"/>
        <w:gridCol w:w="1648"/>
        <w:gridCol w:w="1510"/>
      </w:tblGrid>
      <w:tr w:rsidR="00690FB5" w:rsidRPr="00F26D6F" w:rsidTr="001D1301">
        <w:trPr>
          <w:trHeight w:val="2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690FB5" w:rsidRPr="00F26D6F" w:rsidTr="005A11A7">
        <w:trPr>
          <w:trHeight w:val="20"/>
          <w:jc w:val="center"/>
        </w:trPr>
        <w:tc>
          <w:tcPr>
            <w:tcW w:w="194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Չ/Հ</w:t>
            </w:r>
          </w:p>
        </w:tc>
        <w:tc>
          <w:tcPr>
            <w:tcW w:w="2591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</w:p>
        </w:tc>
        <w:tc>
          <w:tcPr>
            <w:tcW w:w="379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Չափման </w:t>
            </w:r>
          </w:p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միավորը</w:t>
            </w:r>
          </w:p>
        </w:tc>
        <w:tc>
          <w:tcPr>
            <w:tcW w:w="878" w:type="pct"/>
            <w:gridSpan w:val="2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Քանակը</w:t>
            </w:r>
          </w:p>
        </w:tc>
        <w:tc>
          <w:tcPr>
            <w:tcW w:w="958" w:type="pct"/>
            <w:gridSpan w:val="2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Նախահաշվային գինը</w:t>
            </w:r>
          </w:p>
        </w:tc>
      </w:tr>
      <w:tr w:rsidR="00690FB5" w:rsidRPr="00F26D6F" w:rsidTr="005A11A7">
        <w:trPr>
          <w:trHeight w:val="20"/>
          <w:jc w:val="center"/>
        </w:trPr>
        <w:tc>
          <w:tcPr>
            <w:tcW w:w="194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591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45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 միջոցներով</w:t>
            </w:r>
          </w:p>
        </w:tc>
        <w:tc>
          <w:tcPr>
            <w:tcW w:w="433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  <w:tc>
          <w:tcPr>
            <w:tcW w:w="958" w:type="pct"/>
            <w:gridSpan w:val="2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/>
                <w:b/>
                <w:sz w:val="14"/>
                <w:szCs w:val="16"/>
              </w:rPr>
              <w:t>/ՀՀ դրամ/</w:t>
            </w:r>
          </w:p>
        </w:tc>
      </w:tr>
      <w:tr w:rsidR="000D4770" w:rsidRPr="00F26D6F" w:rsidTr="005A11A7">
        <w:trPr>
          <w:trHeight w:val="20"/>
          <w:jc w:val="center"/>
        </w:trPr>
        <w:tc>
          <w:tcPr>
            <w:tcW w:w="194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591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45" w:type="pct"/>
            <w:vMerge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33" w:type="pct"/>
            <w:vMerge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500" w:type="pc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</w:t>
            </w:r>
          </w:p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 միջոցներով</w:t>
            </w:r>
          </w:p>
        </w:tc>
        <w:tc>
          <w:tcPr>
            <w:tcW w:w="458" w:type="pc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նազոտրախեալ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N:6.5/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345,600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նազո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N:7.0/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1,036,800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աջ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35FR/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1,722,000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ձախ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35FR/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1,722,000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աջ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37FR/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1,968,000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ձախ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37FR/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1,968,000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աջ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39FR/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1,722,000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ձախ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39FR/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1,722,000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աջ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41FR/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1,476,000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ձախ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41FR/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1,476,000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Pr="00DF78E5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11.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նազո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N:7.5/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1,296,000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նազո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N:8.0/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1,296,000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6.0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6.5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7.0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7.5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8.0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6.0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7.0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Pr="00DF78E5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20.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7.5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8.0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9.0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Օռոֆարինգեալ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օդամուղ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N3/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88,800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1,290,000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258,000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>) 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N:7.0;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284,400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Զտիչ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բակտերիո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վիրուսային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446,400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1,659,000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Արյան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փորձանմուշի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նշտարներ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Լանցետ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Blood Lancets N200/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տուփ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120,000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Բժշկական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այլ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/CO2 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աբսորբեր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սարքերի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817,920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Բժշկական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այլ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/CO2 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աբսորբեր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սարքերի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244,800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Շպատել փայտե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/Շպատել փայտյա/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100,000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439,000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Զտիչ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բակտերիո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վիրուսային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ջերմա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խոնավա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փոխանակային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2,760,000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/Տաքացնող վերմակ/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/Տաքացնող վերմակ/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/Տաքացնող վերմակ/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72,000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 w:cs="GHEA Grapalat"/>
                <w:sz w:val="15"/>
                <w:szCs w:val="15"/>
              </w:rPr>
              <w:t>/Պերֆուզորի գիծ/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1,500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630,000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Եռուղի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360*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տարբեր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գույների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1,200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504,000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223,200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223,200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280,800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Տուոհի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տիպի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126,000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/Էպիդուրալ ասեղ/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150,000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900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3,240,000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1,512,000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/27G Sprotte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տիպի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ինտրադյուսերով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2,016,000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Էնդոտրախեալ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ֆիքսատոր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390,000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ֆիքսատոր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180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540,000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մինիպակ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ֆիքսատրով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1,083,600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մինիպակ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ֆիքսատրով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619,200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2,160,000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ասպիրացիոն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համակարգ՝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«Suction Pro 72»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270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1,782,000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ասպիրացիոն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համակարգ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 «Suction Pro 72»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էնդոտրախեալ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660,000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Հովարդ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Քելլի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սեղմակով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Հովարդ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Քելլի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սեղմակով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2,400,000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Հովարդ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Քելլի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սեղմակով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Կոննեկտոր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գոֆրեային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552,000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Կոննեկտոր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գոֆրեային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անկյունային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բրոնխոսկոպի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պորտով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954,000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N:7.5; 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284,400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N:8.0;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237,000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N:8.5;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118,500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N:9.0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118,500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երկարության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փոփոխման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900,000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երկարության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փոփոխման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900,000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Կրիկոթիրեոիդոտոմիայի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PCK/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1,188,000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 60 “/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825,000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68.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/Ինտուբացիոն ստիլետ/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12,000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/Ինտուբացիոն ստիլետ/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48,000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/Ինտուբացիոն ստիլետ/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36,000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Տուրնիկետ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276,000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ԱՄԲՈՒ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տիպի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պարկ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792,000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մինիպակ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ֆիքսատրով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576,000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90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1,134,000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լարինգիալ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կոկորդային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 3,0/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172,800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լարինգիալ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կոկորդային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 4,0/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432,000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լարինգիալ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կոկորդային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 5,0/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259,200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չափահասի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70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189,000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չափահասի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միջին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80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չափահասի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փոքր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81,000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միջին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փոքր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13,500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Բժշկական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օգնության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միջոցներ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Տոնոմետր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ֆոնէնդոսկոպով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800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3,040,000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Բժշկական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օգնության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միջոցներ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Դեղատուփ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ավտոմոբիլային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3,500,000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Էնտերալ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սնուցում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Նուտրիզոն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էներջի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1.5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կկալ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  500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2,016,000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Քիմիական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ազդանյութեր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ռեագենտներ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Քիմ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. </w:t>
            </w:r>
            <w:r w:rsidRPr="005A11A7">
              <w:rPr>
                <w:rFonts w:ascii="GHEA Grapalat" w:hAnsi="GHEA Grapalat"/>
                <w:sz w:val="15"/>
                <w:szCs w:val="15"/>
              </w:rPr>
              <w:t>ռեակտիվների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տ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287,500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Ռենտգենի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կոնտրաստային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նյութեր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Օմնիպակ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-350 100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2,787,200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Մեկանգամյա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տակդիրներ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Տակդիր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24,280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ՌՕԷ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պիպետկա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220,000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Բաժակ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sz w:val="15"/>
                <w:szCs w:val="15"/>
              </w:rPr>
              <w:t>ջերմակայուն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)/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23,750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Նիշավորված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շշեր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180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261,000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Նիշավորված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շշեր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261,000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Բուտիրոմետրեր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կաթնային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(0-6,0)/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20,000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Լաբորատոր ապակյա արտադրանք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/Ծածկապակի/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88,000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 Լաբորատոր ապակյա արտադրանք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/ՈՒրոմետր/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46,350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Լաբորատորիայի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կաթոցիչներ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Բաժակ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պոլիպրոպիլենից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120,000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Լաբորատորիայի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կաթոցիչներ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Տրանսպորտային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համակարգ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9 651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նմուշառման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2,100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470,400</w:t>
            </w:r>
          </w:p>
        </w:tc>
      </w:tr>
    </w:tbl>
    <w:p w:rsidR="004D30C9" w:rsidRPr="000A42F7" w:rsidRDefault="004D30C9" w:rsidP="002F53EE">
      <w:pPr>
        <w:spacing w:after="0"/>
        <w:rPr>
          <w:sz w:val="2"/>
          <w:lang w:val="af-ZA"/>
        </w:rPr>
      </w:pPr>
    </w:p>
    <w:p w:rsidR="004D30C9" w:rsidRPr="00690FB5" w:rsidRDefault="00690FB5" w:rsidP="004D30C9">
      <w:pPr>
        <w:rPr>
          <w:b/>
          <w:sz w:val="6"/>
          <w:szCs w:val="2"/>
          <w:lang w:val="af-ZA"/>
        </w:rPr>
      </w:pPr>
      <w:r w:rsidRPr="00690FB5">
        <w:rPr>
          <w:rFonts w:ascii="GHEA Grapalat" w:hAnsi="GHEA Grapalat" w:cs="Sylfaen"/>
          <w:b/>
          <w:bCs/>
          <w:sz w:val="20"/>
          <w:lang w:val="af-ZA"/>
        </w:rPr>
        <w:t xml:space="preserve">Ընթացակարգի հրավերով և պայմանագրերով նախատեսված տեխնիկական բնութագրերը ներկայացված են սույն հայտարարությանը կից   </w:t>
      </w:r>
      <w:r w:rsidRPr="00690FB5">
        <w:rPr>
          <w:rFonts w:ascii="GHEA Grapalat" w:hAnsi="GHEA Grapalat" w:cs="Sylfaen"/>
          <w:b/>
          <w:bCs/>
          <w:i/>
          <w:sz w:val="20"/>
          <w:lang w:val="af-ZA"/>
        </w:rPr>
        <w:t>հավելված N 1-ով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9"/>
        <w:gridCol w:w="199"/>
        <w:gridCol w:w="29"/>
        <w:gridCol w:w="180"/>
        <w:gridCol w:w="578"/>
        <w:gridCol w:w="1446"/>
        <w:gridCol w:w="382"/>
        <w:gridCol w:w="431"/>
        <w:gridCol w:w="151"/>
        <w:gridCol w:w="1109"/>
        <w:gridCol w:w="276"/>
        <w:gridCol w:w="1366"/>
        <w:gridCol w:w="13"/>
        <w:gridCol w:w="32"/>
        <w:gridCol w:w="405"/>
        <w:gridCol w:w="601"/>
        <w:gridCol w:w="431"/>
        <w:gridCol w:w="280"/>
        <w:gridCol w:w="717"/>
        <w:gridCol w:w="154"/>
        <w:gridCol w:w="312"/>
        <w:gridCol w:w="408"/>
        <w:gridCol w:w="701"/>
        <w:gridCol w:w="228"/>
        <w:gridCol w:w="996"/>
        <w:gridCol w:w="161"/>
        <w:gridCol w:w="836"/>
        <w:gridCol w:w="1128"/>
        <w:gridCol w:w="980"/>
      </w:tblGrid>
      <w:tr w:rsidR="004D30C9" w:rsidRPr="00BF28B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nb-NO"/>
              </w:rPr>
            </w:pPr>
          </w:p>
        </w:tc>
      </w:tr>
      <w:tr w:rsidR="004D30C9" w:rsidRPr="00D32DE1" w:rsidTr="00B92E4B">
        <w:trPr>
          <w:trHeight w:val="20"/>
          <w:jc w:val="center"/>
        </w:trPr>
        <w:tc>
          <w:tcPr>
            <w:tcW w:w="1236" w:type="pct"/>
            <w:gridSpan w:val="6"/>
            <w:shd w:val="clear" w:color="auto" w:fill="auto"/>
            <w:vAlign w:val="center"/>
          </w:tcPr>
          <w:p w:rsidR="004D30C9" w:rsidRPr="00766AB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Գնման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ընթացակարգի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ընտրության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հիմնավորումը</w:t>
            </w:r>
          </w:p>
        </w:tc>
        <w:tc>
          <w:tcPr>
            <w:tcW w:w="3764" w:type="pct"/>
            <w:gridSpan w:val="23"/>
            <w:shd w:val="clear" w:color="auto" w:fill="auto"/>
            <w:vAlign w:val="center"/>
          </w:tcPr>
          <w:p w:rsidR="004D30C9" w:rsidRPr="00CA5FCC" w:rsidRDefault="004D30C9" w:rsidP="004D30C9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4"/>
                <w:szCs w:val="10"/>
              </w:rPr>
            </w:pP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Քանի որ ՀՀ ՊՆ կարիքների համար նշված ապրանքի(ների) գնման գինը չի գերազանցում գնումների բազային միավորի յոթանասունապատիկը, ուստի գնումների մասին ՀՀ օրենսդրության պահանջների համաձայն գնումն իրականա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ցվել է գնանշման հարցման միջոցով</w:t>
            </w: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։</w:t>
            </w:r>
          </w:p>
        </w:tc>
      </w:tr>
      <w:tr w:rsidR="004D30C9" w:rsidRPr="00D32DE1" w:rsidTr="005A11A7">
        <w:trPr>
          <w:trHeight w:val="155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</w:tcPr>
          <w:p w:rsidR="004D30C9" w:rsidRPr="00D32DE1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5A11A7">
              <w:rPr>
                <w:rFonts w:ascii="GHEA Grapalat" w:hAnsi="GHEA Grapalat"/>
                <w:b/>
                <w:bCs/>
                <w:sz w:val="12"/>
                <w:szCs w:val="10"/>
              </w:rPr>
              <w:t>Գ</w:t>
            </w:r>
            <w:r w:rsidRPr="005A11A7">
              <w:rPr>
                <w:rFonts w:ascii="GHEA Grapalat" w:hAnsi="GHEA Grapalat"/>
                <w:b/>
                <w:bCs/>
                <w:sz w:val="12"/>
                <w:szCs w:val="10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Բաժին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Խումբ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Դաս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Ծրագիր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 xml:space="preserve">Բյուջե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Արտաբյուջե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Այլ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F914CE"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Այո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6648B0" w:rsidRDefault="006648B0" w:rsidP="006648B0">
            <w:pPr>
              <w:tabs>
                <w:tab w:val="left" w:pos="720"/>
                <w:tab w:val="left" w:pos="756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6648B0">
              <w:rPr>
                <w:rFonts w:ascii="GHEA Grapalat" w:hAnsi="GHEA Grapalat"/>
                <w:sz w:val="16"/>
                <w:szCs w:val="10"/>
              </w:rPr>
              <w:t>Գնումն իրականացվել է «Գնումների մասին» ՀՀ օրենքի 15-րդ հոդվածի  6րդ կետի համաձայն (Ֆինանսական միջոցներ դեռևս նախատեսված չեն):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15807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</w:p>
        </w:tc>
      </w:tr>
      <w:tr w:rsidR="004D30C9" w:rsidRPr="00FB776C" w:rsidTr="0028471B">
        <w:trPr>
          <w:trHeight w:val="20"/>
          <w:jc w:val="center"/>
        </w:trPr>
        <w:tc>
          <w:tcPr>
            <w:tcW w:w="2853" w:type="pct"/>
            <w:gridSpan w:val="1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րավեր ուղարկելու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</w:rPr>
              <w:t xml:space="preserve">կամ հրապարակելու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ամսաթիվը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285428" w:rsidP="00AC3291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AC3291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.11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.2017թ</w:t>
            </w:r>
          </w:p>
        </w:tc>
      </w:tr>
      <w:tr w:rsidR="004D30C9" w:rsidRPr="00BF28B6" w:rsidTr="0028471B">
        <w:trPr>
          <w:trHeight w:val="20"/>
          <w:jc w:val="center"/>
        </w:trPr>
        <w:tc>
          <w:tcPr>
            <w:tcW w:w="2406" w:type="pct"/>
            <w:gridSpan w:val="14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  <w:lang w:val="hy-AM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Հրավերում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կատարված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փոփոխությունների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1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sz w:val="12"/>
                <w:szCs w:val="10"/>
                <w:lang w:val="hy-AM"/>
              </w:rPr>
              <w:t>Ընթացակարգի հրավերում փոփոխություն չի կատարվել</w:t>
            </w:r>
          </w:p>
        </w:tc>
      </w:tr>
      <w:tr w:rsidR="004D30C9" w:rsidRPr="00115807" w:rsidTr="0028471B">
        <w:trPr>
          <w:trHeight w:val="20"/>
          <w:jc w:val="center"/>
        </w:trPr>
        <w:tc>
          <w:tcPr>
            <w:tcW w:w="2406" w:type="pct"/>
            <w:gridSpan w:val="14"/>
            <w:vMerge w:val="restart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Հրավերի վերաբերյալ պարզաբանումն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</w:rPr>
              <w:t>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Հարցարդման ստացման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Պարզաբանման</w:t>
            </w:r>
          </w:p>
        </w:tc>
      </w:tr>
      <w:tr w:rsidR="004D30C9" w:rsidRPr="00115807" w:rsidTr="00286D5F">
        <w:trPr>
          <w:trHeight w:val="435"/>
          <w:jc w:val="center"/>
        </w:trPr>
        <w:tc>
          <w:tcPr>
            <w:tcW w:w="2406" w:type="pct"/>
            <w:gridSpan w:val="14"/>
            <w:vMerge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</w:rPr>
            </w:pP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1</w:t>
            </w: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</w:tr>
      <w:tr w:rsidR="004D30C9" w:rsidRPr="00115807" w:rsidTr="00286D5F">
        <w:trPr>
          <w:trHeight w:val="267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15807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115807" w:rsidTr="00286D5F">
        <w:trPr>
          <w:trHeight w:val="269"/>
          <w:jc w:val="center"/>
        </w:trPr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lastRenderedPageBreak/>
              <w:t>Հ/Հ</w:t>
            </w:r>
          </w:p>
        </w:tc>
        <w:tc>
          <w:tcPr>
            <w:tcW w:w="948" w:type="pct"/>
            <w:gridSpan w:val="6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Մասնակիցների անվանումները</w:t>
            </w: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Յուրաքանչյուր մասնակցի հ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այտով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ներկայացված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գները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</w:p>
        </w:tc>
      </w:tr>
      <w:tr w:rsidR="004D30C9" w:rsidRPr="00115807" w:rsidTr="00B92E4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 xml:space="preserve">  ՀՀ 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230" w:type="pct"/>
            <w:gridSpan w:val="8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Գինն առանց ԱԱՀ</w:t>
            </w:r>
          </w:p>
        </w:tc>
        <w:tc>
          <w:tcPr>
            <w:tcW w:w="716" w:type="pct"/>
            <w:gridSpan w:val="6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ԱԱՀ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Ընդհանուր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07" w:type="pct"/>
            <w:gridSpan w:val="5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23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649" w:type="pct"/>
            <w:gridSpan w:val="4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916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</w:tr>
      <w:tr w:rsidR="003542D9" w:rsidRPr="00E93B90" w:rsidTr="003542D9">
        <w:trPr>
          <w:trHeight w:val="393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3542D9" w:rsidRPr="00846593" w:rsidRDefault="003542D9" w:rsidP="008465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8"/>
                <w:szCs w:val="12"/>
                <w:highlight w:val="red"/>
              </w:rPr>
            </w:pP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Պահանջվող տեղեկ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ո</w:t>
            </w: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ւթյունները ներկայացված են Հավելված 2-ով, 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գները առկա ֆինանսական 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միջոցներո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վ չեն</w:t>
            </w:r>
            <w:r w:rsidR="00286D5F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: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>Այլ տեղեկություններ</w:t>
            </w:r>
          </w:p>
        </w:tc>
        <w:tc>
          <w:tcPr>
            <w:tcW w:w="4521" w:type="pct"/>
            <w:gridSpan w:val="28"/>
            <w:shd w:val="clear" w:color="auto" w:fill="auto"/>
            <w:vAlign w:val="center"/>
          </w:tcPr>
          <w:p w:rsidR="004D30C9" w:rsidRPr="00194FEA" w:rsidRDefault="00194FEA" w:rsidP="00844691">
            <w:pPr>
              <w:widowControl w:val="0"/>
              <w:spacing w:after="0" w:line="240" w:lineRule="auto"/>
              <w:rPr>
                <w:rFonts w:ascii="GHEA Grapalat" w:hAnsi="GHEA Grapalat" w:cs="Sylfaen"/>
                <w:sz w:val="14"/>
                <w:szCs w:val="12"/>
              </w:rPr>
            </w:pPr>
            <w:r w:rsidRPr="00194FEA">
              <w:rPr>
                <w:rFonts w:ascii="GHEA Grapalat" w:hAnsi="GHEA Grapalat"/>
                <w:sz w:val="14"/>
                <w:szCs w:val="18"/>
                <w:lang w:val="es-ES"/>
              </w:rPr>
              <w:t xml:space="preserve">Քանի որ 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  <w:lang w:val="es-ES"/>
              </w:rPr>
              <w:t>«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</w:rPr>
              <w:t>Բժշկական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  <w:lang w:val="es-ES"/>
              </w:rPr>
              <w:t xml:space="preserve"> 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</w:rPr>
              <w:t>պարագաների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  <w:lang w:val="es-ES"/>
              </w:rPr>
              <w:t>»</w:t>
            </w:r>
            <w:r w:rsidRPr="00194FEA">
              <w:rPr>
                <w:rFonts w:ascii="GHEA Grapalat" w:hAnsi="GHEA Grapalat"/>
                <w:sz w:val="14"/>
                <w:szCs w:val="18"/>
                <w:lang w:val="es-ES"/>
              </w:rPr>
              <w:t xml:space="preserve">  ձեռքբերման նպատակով կազմակերպված «ՀՀՊՆՆՏԱԴ-ԳՀԱՊՁԲ-9/7» ծածկագրով ընթացակարգի 89-րդ, 93-րդ և 95-րդ չափաբաժինների մասով մասնակիցների առաջարկված գները գերազանցում են պատվիրատուի` տվյալ գնման համար նախատեսված ֆինանսական միջոցների չափը, գնահատող հանձնաժողովի կողմից, հիմք ընդունելով ՀՀ կառավարության 04.05.2017թ. N 526-Ն որոշմամբ հաստատված «Գնումների գործընթացի կազմակերպման» կարգի 40-րդ կետի պահանջները, գների նվազեցման նպատակով </w:t>
            </w:r>
            <w:r w:rsidRPr="00194FEA">
              <w:rPr>
                <w:rFonts w:ascii="GHEA Grapalat" w:hAnsi="GHEA Grapalat"/>
                <w:b/>
                <w:sz w:val="14"/>
                <w:szCs w:val="18"/>
                <w:lang w:val="es-ES"/>
              </w:rPr>
              <w:t>25.12.2017թ. ժամը 11:00-ին</w:t>
            </w:r>
            <w:r w:rsidRPr="00194FEA">
              <w:rPr>
                <w:rFonts w:ascii="GHEA Grapalat" w:hAnsi="GHEA Grapalat"/>
                <w:sz w:val="14"/>
                <w:szCs w:val="18"/>
                <w:lang w:val="es-ES"/>
              </w:rPr>
              <w:t xml:space="preserve"> </w:t>
            </w:r>
            <w:r w:rsidRPr="00194FEA">
              <w:rPr>
                <w:rFonts w:ascii="GHEA Grapalat" w:hAnsi="GHEA Grapalat" w:cs="Sylfaen"/>
                <w:sz w:val="14"/>
                <w:szCs w:val="17"/>
                <w:lang w:val="es-ES"/>
              </w:rPr>
              <w:t xml:space="preserve">ՀՀ ՊՆ ՆՏԱԴ ԳՓՁ </w:t>
            </w:r>
            <w:r w:rsidRPr="00194FEA">
              <w:rPr>
                <w:rFonts w:ascii="GHEA Grapalat" w:hAnsi="GHEA Grapalat"/>
                <w:sz w:val="14"/>
                <w:szCs w:val="18"/>
                <w:lang w:val="es-ES"/>
              </w:rPr>
              <w:t>վարչության նիստերի դահլիճում  (ք. Երևան, Բագրևանդի 5) անցկացել բանակցություններ: Սակայն կազմակերպված բանակցությանը որևէ մասնակից չներկայացավ և առաջարկված գները մնացին անփոփոխ</w:t>
            </w:r>
            <w:r w:rsidRPr="00194FEA">
              <w:rPr>
                <w:rFonts w:ascii="GHEA Grapalat" w:hAnsi="GHEA Grapalat" w:cs="Sylfaen"/>
                <w:sz w:val="14"/>
                <w:szCs w:val="17"/>
                <w:lang w:val="es-ES"/>
              </w:rPr>
              <w:t>: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E93B9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es-ES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</w:rPr>
              <w:t>Տ</w:t>
            </w: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վյալներ մերժված հայտերի մասին</w:t>
            </w:r>
          </w:p>
        </w:tc>
      </w:tr>
      <w:tr w:rsidR="00B92E4B" w:rsidRPr="00115807" w:rsidTr="00703E44">
        <w:trPr>
          <w:trHeight w:val="20"/>
          <w:jc w:val="center"/>
        </w:trPr>
        <w:tc>
          <w:tcPr>
            <w:tcW w:w="550" w:type="pct"/>
            <w:gridSpan w:val="3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Չափա-բաժնի համարը</w:t>
            </w:r>
          </w:p>
        </w:tc>
        <w:tc>
          <w:tcPr>
            <w:tcW w:w="805" w:type="pct"/>
            <w:gridSpan w:val="4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Մասնակցի անվանումը</w:t>
            </w:r>
          </w:p>
        </w:tc>
        <w:tc>
          <w:tcPr>
            <w:tcW w:w="3646" w:type="pct"/>
            <w:gridSpan w:val="2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  <w:lang w:val="hy-AM"/>
              </w:rPr>
              <w:t>Գնահատման արդյունքները</w:t>
            </w:r>
            <w:r w:rsidRPr="00D541CF">
              <w:rPr>
                <w:rFonts w:ascii="GHEA Grapalat" w:hAnsi="GHEA Grapalat"/>
                <w:b/>
                <w:sz w:val="11"/>
                <w:szCs w:val="11"/>
              </w:rPr>
              <w:t xml:space="preserve"> (բավարար կամ անբավարար)</w:t>
            </w:r>
          </w:p>
        </w:tc>
      </w:tr>
      <w:tr w:rsidR="00B92E4B" w:rsidRPr="00115807" w:rsidTr="00286D5F">
        <w:trPr>
          <w:trHeight w:val="20"/>
          <w:jc w:val="center"/>
        </w:trPr>
        <w:tc>
          <w:tcPr>
            <w:tcW w:w="550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805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52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Ծրարը կազմելու և ներկայացնելու համապատասխանությունը</w:t>
            </w:r>
          </w:p>
        </w:tc>
        <w:tc>
          <w:tcPr>
            <w:tcW w:w="515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Հրավերով պահանջվող փաստաթղթերի առկայությունը</w:t>
            </w:r>
          </w:p>
        </w:tc>
        <w:tc>
          <w:tcPr>
            <w:tcW w:w="544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Առաջարկած գնման առարկայի տեխնիկական հատկանիշների համապատասխանությունը</w:t>
            </w:r>
          </w:p>
        </w:tc>
        <w:tc>
          <w:tcPr>
            <w:tcW w:w="368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Մասնագիտական գործունեություն</w:t>
            </w:r>
          </w:p>
        </w:tc>
        <w:tc>
          <w:tcPr>
            <w:tcW w:w="41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Մասնագիտական փորձառությունը</w:t>
            </w:r>
          </w:p>
        </w:tc>
        <w:tc>
          <w:tcPr>
            <w:tcW w:w="310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Ֆինանսական միջոցներ</w:t>
            </w:r>
          </w:p>
        </w:tc>
        <w:tc>
          <w:tcPr>
            <w:tcW w:w="310" w:type="pct"/>
            <w:gridSpan w:val="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Տեխնիկական միջոցներ</w:t>
            </w:r>
          </w:p>
        </w:tc>
        <w:tc>
          <w:tcPr>
            <w:tcW w:w="351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Աշխատանքային ռեսուրսներ</w:t>
            </w:r>
          </w:p>
        </w:tc>
        <w:tc>
          <w:tcPr>
            <w:tcW w:w="305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Գնային առաջարկ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nb-NO"/>
              </w:rPr>
            </w:pPr>
            <w:r w:rsidRPr="00D541CF">
              <w:rPr>
                <w:rFonts w:ascii="GHEA Grapalat" w:hAnsi="GHEA Grapalat" w:cs="Sylfaen"/>
                <w:sz w:val="12"/>
                <w:szCs w:val="10"/>
              </w:rPr>
              <w:t>Մասնակ</w:t>
            </w:r>
            <w:r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ց</w:t>
            </w:r>
            <w:r>
              <w:rPr>
                <w:rFonts w:ascii="GHEA Grapalat" w:hAnsi="GHEA Grapalat" w:cs="Sylfaen"/>
                <w:sz w:val="12"/>
                <w:szCs w:val="10"/>
              </w:rPr>
              <w:t>ների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կողմից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ներկայացված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հայտ</w:t>
            </w:r>
            <w:r>
              <w:rPr>
                <w:rFonts w:ascii="GHEA Grapalat" w:hAnsi="GHEA Grapalat" w:cs="Sylfaen"/>
                <w:sz w:val="12"/>
                <w:szCs w:val="10"/>
              </w:rPr>
              <w:t>եր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ը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համապատասխանում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0"/>
              </w:rPr>
              <w:t>են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հրավերով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սահմանված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պահանջներին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և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գնահատվել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է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բավարար</w:t>
            </w:r>
            <w:r w:rsidR="00844691">
              <w:rPr>
                <w:rFonts w:ascii="GHEA Grapalat" w:hAnsi="GHEA Grapalat" w:cs="Sylfaen"/>
                <w:sz w:val="12"/>
                <w:szCs w:val="10"/>
              </w:rPr>
              <w:t>, բացառությամբ ներքոհիշյալ դեպքի.</w:t>
            </w:r>
          </w:p>
        </w:tc>
      </w:tr>
      <w:tr w:rsidR="004D30C9" w:rsidRPr="00BF28B6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Այլ տեղեկություններ</w:t>
            </w:r>
          </w:p>
        </w:tc>
        <w:tc>
          <w:tcPr>
            <w:tcW w:w="4521" w:type="pct"/>
            <w:gridSpan w:val="28"/>
            <w:shd w:val="clear" w:color="auto" w:fill="auto"/>
            <w:vAlign w:val="center"/>
          </w:tcPr>
          <w:p w:rsidR="00194FEA" w:rsidRPr="008C2AF3" w:rsidRDefault="00194FEA" w:rsidP="008C2AF3">
            <w:pPr>
              <w:pStyle w:val="ListParagraph"/>
              <w:numPr>
                <w:ilvl w:val="0"/>
                <w:numId w:val="25"/>
              </w:numPr>
              <w:tabs>
                <w:tab w:val="left" w:pos="665"/>
              </w:tabs>
              <w:ind w:left="-44" w:firstLine="426"/>
              <w:jc w:val="both"/>
              <w:rPr>
                <w:rFonts w:ascii="GHEA Grapalat" w:hAnsi="GHEA Grapalat"/>
                <w:color w:val="FF0000"/>
                <w:sz w:val="18"/>
                <w:szCs w:val="20"/>
                <w:lang w:val="es-ES" w:eastAsia="en-US"/>
              </w:rPr>
            </w:pPr>
            <w:r w:rsidRPr="008C2AF3">
              <w:rPr>
                <w:rFonts w:ascii="GHEA Grapalat" w:hAnsi="GHEA Grapalat"/>
                <w:color w:val="FF0000"/>
                <w:sz w:val="18"/>
                <w:szCs w:val="20"/>
                <w:lang w:val="es-ES" w:eastAsia="en-US"/>
              </w:rPr>
              <w:t xml:space="preserve">Սույն ընթացակարգի շրջանակներում </w:t>
            </w:r>
            <w:r w:rsidRPr="00286D5F">
              <w:rPr>
                <w:rFonts w:ascii="GHEA Grapalat" w:hAnsi="GHEA Grapalat"/>
                <w:b/>
                <w:color w:val="FF0000"/>
                <w:sz w:val="18"/>
                <w:szCs w:val="20"/>
                <w:lang w:val="es-ES" w:eastAsia="en-US"/>
              </w:rPr>
              <w:t>«Մեգիէլ» ՍՊԸ</w:t>
            </w:r>
            <w:r w:rsidRPr="008C2AF3">
              <w:rPr>
                <w:rFonts w:ascii="GHEA Grapalat" w:hAnsi="GHEA Grapalat"/>
                <w:color w:val="FF0000"/>
                <w:sz w:val="18"/>
                <w:szCs w:val="20"/>
                <w:lang w:val="es-ES" w:eastAsia="en-US"/>
              </w:rPr>
              <w:t xml:space="preserve">-ի կողմից ներկայացված հայտում բացակայում էր  մասնակցի կողմից, որպես հայտի ապահովում ներկայացված տուժանքի մասին համաձայնությանը (Հավելված N 10) կից վճարման պահանջագիրը, բացի այդ ներկայացված փաստաթղթերը չեն համապատասխանում հավերով սահմանված 8.19 կետին մասնավորապես` տեսանելի չէ մասնակցի էլեկտրոնային թվային ստորագրությունը, ընդունելով նշված հանգամանքները հանձնաժողովը որոշեց մասնակցի հատը գնահատվել հրավերի պահանջներին ոչ համապատասխան և մերժել: </w:t>
            </w:r>
          </w:p>
          <w:p w:rsidR="004D30C9" w:rsidRPr="008C2AF3" w:rsidRDefault="00194FEA" w:rsidP="008C2AF3">
            <w:pPr>
              <w:pStyle w:val="BlockText"/>
              <w:tabs>
                <w:tab w:val="left" w:pos="665"/>
              </w:tabs>
              <w:ind w:left="-44" w:right="-81" w:firstLine="426"/>
              <w:contextualSpacing/>
              <w:jc w:val="both"/>
              <w:rPr>
                <w:rFonts w:ascii="GHEA Grapalat" w:hAnsi="GHEA Grapalat"/>
                <w:color w:val="FF0000"/>
                <w:sz w:val="18"/>
              </w:rPr>
            </w:pPr>
            <w:r w:rsidRPr="00111F40">
              <w:rPr>
                <w:rFonts w:ascii="GHEA Grapalat" w:hAnsi="GHEA Grapalat"/>
                <w:b/>
                <w:color w:val="FF0000"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color w:val="FF0000"/>
                <w:sz w:val="18"/>
              </w:rPr>
              <w:t xml:space="preserve">- </w:t>
            </w:r>
            <w:r w:rsidRPr="00111F40">
              <w:rPr>
                <w:rFonts w:ascii="GHEA Grapalat" w:hAnsi="GHEA Grapalat"/>
                <w:b/>
                <w:color w:val="FF0000"/>
                <w:sz w:val="18"/>
              </w:rPr>
              <w:t>«Կուրացիո» ՍՊԸ</w:t>
            </w:r>
            <w:r w:rsidRPr="00111F40">
              <w:rPr>
                <w:rFonts w:ascii="GHEA Grapalat" w:hAnsi="GHEA Grapalat"/>
                <w:color w:val="FF0000"/>
                <w:sz w:val="18"/>
              </w:rPr>
              <w:t>-ի կողմից ներկայացված հայտում բացակայում էր  մասնակցի կողմից, որպես հայտի ապահովում ներկայացված տուժանքի մասին համաձայնությանը (Հավելված N 10) կից վճարման պահանջագրում նշված չեն կազմակերպության վավերապայմաններ</w:t>
            </w:r>
            <w:r>
              <w:rPr>
                <w:rFonts w:ascii="GHEA Grapalat" w:hAnsi="GHEA Grapalat"/>
                <w:color w:val="FF0000"/>
                <w:sz w:val="18"/>
              </w:rPr>
              <w:t>ն,</w:t>
            </w:r>
            <w:r w:rsidRPr="00111F40">
              <w:rPr>
                <w:rFonts w:ascii="GHEA Grapalat" w:hAnsi="GHEA Grapalat"/>
                <w:color w:val="FF0000"/>
                <w:sz w:val="18"/>
              </w:rPr>
              <w:t xml:space="preserve"> ընդունելով նշված հանգամանքը հանձնաժողովը որոշեց մասնակցի հատը գնահատվել հրավերի պահանջներին ոչ համապատասխան և մերժել:</w:t>
            </w:r>
          </w:p>
        </w:tc>
      </w:tr>
      <w:tr w:rsidR="004D30C9" w:rsidRPr="00BF28B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94FEA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</w:pPr>
          </w:p>
        </w:tc>
      </w:tr>
      <w:tr w:rsidR="004D30C9" w:rsidRPr="00FB776C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Ընտրված մասնակցի որոշման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center"/>
          </w:tcPr>
          <w:p w:rsidR="004D30C9" w:rsidRPr="00D541CF" w:rsidRDefault="002D3012" w:rsidP="00AC329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AC3291">
              <w:rPr>
                <w:rFonts w:ascii="GHEA Grapalat" w:hAnsi="GHEA Grapalat"/>
                <w:b/>
                <w:sz w:val="12"/>
                <w:szCs w:val="10"/>
              </w:rPr>
              <w:t>9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2"/>
            <w:vMerge w:val="restart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Անգործության ժամկետ</w:t>
            </w: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AC3291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 Անգործության ժամկետի սկիզբ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AC3291">
              <w:rPr>
                <w:rFonts w:ascii="GHEA Grapalat" w:hAnsi="GHEA Grapalat" w:cs="Sylfaen"/>
                <w:b/>
                <w:sz w:val="12"/>
                <w:szCs w:val="10"/>
              </w:rPr>
              <w:t xml:space="preserve">  20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AC3291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Անգործության ժամկետի ավարտ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1C4C13">
              <w:rPr>
                <w:rFonts w:ascii="GHEA Grapalat" w:hAnsi="GHEA Grapalat" w:cs="Sylfaen"/>
                <w:b/>
                <w:sz w:val="12"/>
                <w:szCs w:val="10"/>
              </w:rPr>
              <w:t xml:space="preserve"> 2</w:t>
            </w:r>
            <w:r w:rsidR="00AC3291">
              <w:rPr>
                <w:rFonts w:ascii="GHEA Grapalat" w:hAnsi="GHEA Grapalat" w:cs="Sylfaen"/>
                <w:b/>
                <w:sz w:val="12"/>
                <w:szCs w:val="10"/>
              </w:rPr>
              <w:t>4</w:t>
            </w:r>
            <w:r w:rsidR="00CE3D67"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2"/>
            <w:vMerge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D541CF" w:rsidRDefault="00906733" w:rsidP="00846593">
            <w:pPr>
              <w:spacing w:after="0" w:line="240" w:lineRule="auto"/>
              <w:jc w:val="center"/>
              <w:rPr>
                <w:sz w:val="12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26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CE3D67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B477C2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846593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B477C2" w:rsidP="0090673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 </w:t>
            </w:r>
            <w:r w:rsidR="00FA0CFF">
              <w:rPr>
                <w:rFonts w:ascii="GHEA Grapalat" w:hAnsi="GHEA Grapalat"/>
                <w:b/>
                <w:sz w:val="12"/>
                <w:szCs w:val="10"/>
              </w:rPr>
              <w:t>06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 w:rsidR="00906733"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FA0CFF" w:rsidP="00FA0CFF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08</w:t>
            </w:r>
            <w:r w:rsidR="006104EF">
              <w:rPr>
                <w:rFonts w:ascii="GHEA Grapalat" w:hAnsi="GHEA Grapalat"/>
                <w:b/>
                <w:sz w:val="12"/>
                <w:szCs w:val="10"/>
              </w:rPr>
              <w:t xml:space="preserve"> 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02.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B92E4B" w:rsidRPr="00763C56" w:rsidTr="00703E44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Չ/հ</w:t>
            </w:r>
          </w:p>
        </w:tc>
        <w:tc>
          <w:tcPr>
            <w:tcW w:w="814" w:type="pct"/>
            <w:gridSpan w:val="5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Ընտրված մասնակիցը</w:t>
            </w:r>
          </w:p>
        </w:tc>
        <w:tc>
          <w:tcPr>
            <w:tcW w:w="3646" w:type="pct"/>
            <w:gridSpan w:val="22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Պայմանագրի</w:t>
            </w:r>
          </w:p>
        </w:tc>
      </w:tr>
      <w:tr w:rsidR="00B92E4B" w:rsidRPr="00763C56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Պայմանագրի համարը</w:t>
            </w:r>
          </w:p>
        </w:tc>
        <w:tc>
          <w:tcPr>
            <w:tcW w:w="515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Կնքման ամսաթիվը</w:t>
            </w:r>
          </w:p>
        </w:tc>
        <w:tc>
          <w:tcPr>
            <w:tcW w:w="457" w:type="pct"/>
            <w:gridSpan w:val="4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Կատարման վերջնաժամկետը</w:t>
            </w:r>
          </w:p>
        </w:tc>
        <w:tc>
          <w:tcPr>
            <w:tcW w:w="358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Կանխավճարի չափը</w:t>
            </w: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Գինը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ՀՀ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23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Ընդհանուր</w:t>
            </w:r>
          </w:p>
        </w:tc>
      </w:tr>
      <w:tr w:rsidR="00F07447" w:rsidRPr="00763C5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07447" w:rsidRPr="00D20979" w:rsidRDefault="00CA497E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90,91,92,94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07447" w:rsidRPr="00EF64FC" w:rsidRDefault="00CA497E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«ԹԱԳ ՀԷՄ»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07447" w:rsidRPr="00F003C2" w:rsidRDefault="00F07447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="001755D5"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-1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F07447" w:rsidRPr="00F003C2" w:rsidRDefault="00FA0CFF" w:rsidP="00B92E4B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A0CFF">
              <w:rPr>
                <w:rFonts w:ascii="GHEA Grapalat" w:hAnsi="GHEA Grapalat" w:cs="Sylfaen"/>
                <w:sz w:val="16"/>
                <w:szCs w:val="18"/>
                <w:lang w:val="nb-NO"/>
              </w:rPr>
              <w:t>08</w:t>
            </w:r>
            <w:r w:rsidR="00F07447" w:rsidRPr="00FA0CFF">
              <w:rPr>
                <w:rFonts w:ascii="GHEA Grapalat" w:hAnsi="GHEA Grapalat" w:cs="Sylfaen"/>
                <w:sz w:val="16"/>
                <w:szCs w:val="18"/>
                <w:lang w:val="nb-NO"/>
              </w:rPr>
              <w:t>.02</w:t>
            </w:r>
            <w:r w:rsidR="00F07447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 w:rsidR="00F07447"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="00F07447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 w:rsidR="00F07447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 w:val="restart"/>
            <w:shd w:val="clear" w:color="auto" w:fill="auto"/>
            <w:vAlign w:val="center"/>
          </w:tcPr>
          <w:p w:rsidR="00F07447" w:rsidRPr="0028471B" w:rsidRDefault="00F07447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t>Կսահմանվի համապատասխան ֆինանսական միջոցներ նախատեսվելու դեպքում</w:t>
            </w: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07447" w:rsidRPr="00F003C2" w:rsidRDefault="00F07447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07447" w:rsidRPr="00F003C2" w:rsidRDefault="00F07447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07447" w:rsidRPr="00B92E4B" w:rsidRDefault="00CA497E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611,570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Pr="00D20979" w:rsidRDefault="00FA0CFF" w:rsidP="007F6926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33,84,96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3,414,000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Pr="00111F51" w:rsidRDefault="00FA0CFF" w:rsidP="00393E5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«Կոնցեռն-էներգոմաշ»  ՓԲԸ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3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378,000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4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E950F4">
              <w:rPr>
                <w:rFonts w:ascii="GHEA Grapalat" w:hAnsi="GHEA Grapalat"/>
                <w:b/>
                <w:i/>
                <w:sz w:val="18"/>
                <w:szCs w:val="18"/>
              </w:rPr>
              <w:t>2</w:t>
            </w:r>
            <w:r>
              <w:rPr>
                <w:rFonts w:ascii="GHEA Grapalat" w:hAnsi="GHEA Grapalat"/>
                <w:b/>
                <w:i/>
                <w:sz w:val="18"/>
                <w:szCs w:val="18"/>
              </w:rPr>
              <w:t>,</w:t>
            </w:r>
            <w:r w:rsidRPr="00E950F4">
              <w:rPr>
                <w:rFonts w:ascii="GHEA Grapalat" w:hAnsi="GHEA Grapalat"/>
                <w:b/>
                <w:i/>
                <w:sz w:val="18"/>
                <w:szCs w:val="18"/>
              </w:rPr>
              <w:t>528</w:t>
            </w:r>
            <w:r>
              <w:rPr>
                <w:rFonts w:ascii="GHEA Grapalat" w:hAnsi="GHEA Grapalat"/>
                <w:b/>
                <w:i/>
                <w:sz w:val="18"/>
                <w:szCs w:val="18"/>
              </w:rPr>
              <w:t>,</w:t>
            </w:r>
            <w:r w:rsidRPr="00E950F4">
              <w:rPr>
                <w:rFonts w:ascii="GHEA Grapalat" w:hAnsi="GHEA Grapalat"/>
                <w:b/>
                <w:i/>
                <w:sz w:val="18"/>
                <w:szCs w:val="18"/>
              </w:rPr>
              <w:t>000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30, 71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63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«ՄԵԴՏԵԽՍԵՐՎԻՍ»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F003C2" w:rsidRDefault="00FA0CFF" w:rsidP="0069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51151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52,500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38,40,41,42,43,46,47,48,49,72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«ՄԻ ՎՆԱՍԻՐ»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6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7C6D1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5,491,000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63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7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9C02C8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</w:rPr>
              <w:t>2,650,914</w:t>
            </w:r>
          </w:p>
        </w:tc>
      </w:tr>
      <w:tr w:rsidR="00631832" w:rsidRPr="00B92E4B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631832" w:rsidRPr="00B92E4B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B92E4B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մասնակցի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(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մասնակիցների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)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անվանումը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և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հասցեն</w:t>
            </w:r>
          </w:p>
        </w:tc>
      </w:tr>
      <w:tr w:rsidR="00631832" w:rsidRPr="00115807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F2F2F2"/>
            <w:vAlign w:val="center"/>
          </w:tcPr>
          <w:p w:rsidR="00631832" w:rsidRPr="00763C56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Չ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>/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</w:t>
            </w:r>
          </w:p>
        </w:tc>
        <w:tc>
          <w:tcPr>
            <w:tcW w:w="814" w:type="pct"/>
            <w:gridSpan w:val="5"/>
            <w:shd w:val="clear" w:color="auto" w:fill="F2F2F2"/>
            <w:vAlign w:val="center"/>
          </w:tcPr>
          <w:p w:rsidR="00631832" w:rsidRPr="00763C56" w:rsidRDefault="006318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Ընտրված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մասնակիցը</w:t>
            </w:r>
          </w:p>
        </w:tc>
        <w:tc>
          <w:tcPr>
            <w:tcW w:w="1041" w:type="pct"/>
            <w:gridSpan w:val="6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Հասցե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,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հեռ.</w:t>
            </w:r>
          </w:p>
        </w:tc>
        <w:tc>
          <w:tcPr>
            <w:tcW w:w="457" w:type="pct"/>
            <w:gridSpan w:val="4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Էլ.-փոստ</w:t>
            </w:r>
          </w:p>
        </w:tc>
        <w:tc>
          <w:tcPr>
            <w:tcW w:w="1181" w:type="pct"/>
            <w:gridSpan w:val="8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Բանկային հաշիվը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 xml:space="preserve">ՀՎՀՀ </w:t>
            </w:r>
          </w:p>
        </w:tc>
      </w:tr>
      <w:tr w:rsidR="007849F1" w:rsidRPr="0045105C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Pr="00D20979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90,91,92,94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F86C8E" w:rsidRDefault="007849F1" w:rsidP="00EF64FC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«ԹԱԳ ՀԷՄ»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Լենինգրադյան 31/7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«ՎՏԲՀԱՅԱՍՏԱՆԲԱՆԿ» ՓԲԸ</w:t>
            </w:r>
          </w:p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16047808168200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01232586</w:t>
            </w:r>
          </w:p>
        </w:tc>
      </w:tr>
      <w:tr w:rsidR="007849F1" w:rsidRPr="00DD0A8E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Pr="00D20979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33,84,96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B92E4B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Ֆուչիկի 27/14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744D45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Հ/Հ205002223860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04414816</w:t>
            </w:r>
          </w:p>
        </w:tc>
      </w:tr>
      <w:tr w:rsidR="007849F1" w:rsidRPr="00DD0A8E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Pr="00111F5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B92E4B" w:rsidRDefault="007849F1" w:rsidP="00EF64F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«Կոնցեռն-Էներգոմաշ» ՓԲԸ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Արզումանյան 32-10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«Էյչ-Էս-Բի-Սի բանկ Հայաստան » ՓԲԸ</w:t>
            </w:r>
          </w:p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002182558001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01210095</w:t>
            </w:r>
          </w:p>
        </w:tc>
      </w:tr>
      <w:tr w:rsidR="007849F1" w:rsidRPr="00DD0A8E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83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B92E4B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Ավետիսյան 76շ. բն. 17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744D45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 բանկ» ԲԲԸ</w:t>
            </w:r>
          </w:p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1510035714460100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00650302</w:t>
            </w:r>
          </w:p>
        </w:tc>
      </w:tr>
      <w:tr w:rsidR="007849F1" w:rsidRPr="00772363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30, 71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«ՄԵԴՏԵԽՍԵՐՎԻՍ»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Լեո-12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163008142792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02205001</w:t>
            </w:r>
          </w:p>
        </w:tc>
      </w:tr>
      <w:tr w:rsidR="007849F1" w:rsidRPr="00772363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38,40,41,42,43,46,47,48,49,72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«ՄԻ ՎՆԱՍԻՐ»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Րաֆֆու 99/42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«Ամերիաբանկ» ՓԲԸ</w:t>
            </w:r>
          </w:p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1570021916560100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01847238</w:t>
            </w:r>
          </w:p>
        </w:tc>
      </w:tr>
      <w:tr w:rsidR="007849F1" w:rsidRPr="00DD0A8E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B92E4B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811681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Աբովյան 42/2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«Ամերիաբանկ»  ՓԲԸ</w:t>
            </w:r>
          </w:p>
          <w:p w:rsidR="007849F1" w:rsidRPr="00811681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1570005065330100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811681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01222567</w:t>
            </w:r>
          </w:p>
        </w:tc>
      </w:tr>
      <w:tr w:rsidR="0045105C" w:rsidRPr="00DD0A8E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DD0A8E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hy-AM"/>
              </w:rPr>
            </w:pPr>
          </w:p>
        </w:tc>
      </w:tr>
      <w:tr w:rsidR="0045105C" w:rsidRPr="00BF28B6" w:rsidTr="00635BE2">
        <w:trPr>
          <w:trHeight w:val="557"/>
          <w:jc w:val="center"/>
        </w:trPr>
        <w:tc>
          <w:tcPr>
            <w:tcW w:w="1354" w:type="pct"/>
            <w:gridSpan w:val="7"/>
            <w:shd w:val="clear" w:color="auto" w:fill="auto"/>
            <w:vAlign w:val="center"/>
          </w:tcPr>
          <w:p w:rsidR="0045105C" w:rsidRPr="009C2291" w:rsidRDefault="0045105C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Այլ տեղեկություններ</w:t>
            </w:r>
          </w:p>
        </w:tc>
        <w:tc>
          <w:tcPr>
            <w:tcW w:w="3646" w:type="pct"/>
            <w:gridSpan w:val="22"/>
            <w:shd w:val="clear" w:color="auto" w:fill="auto"/>
            <w:vAlign w:val="center"/>
          </w:tcPr>
          <w:p w:rsidR="0045105C" w:rsidRPr="00EF1D71" w:rsidRDefault="0045105C" w:rsidP="00635BE2">
            <w:pPr>
              <w:spacing w:after="0" w:line="240" w:lineRule="auto"/>
              <w:ind w:left="119"/>
              <w:jc w:val="both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  <w:r w:rsidRPr="00EF1D71">
              <w:rPr>
                <w:rFonts w:ascii="GHEA Grapalat" w:hAnsi="GHEA Grapalat"/>
                <w:bCs/>
                <w:sz w:val="14"/>
                <w:szCs w:val="8"/>
                <w:lang w:val="hy-AM"/>
              </w:rPr>
              <w:t>86-րդ և 88-րդ չափաբաժինների մասով ընթացակարգը հայտարարել չկայացած  հիմք ընդունելով «Գնումների մասին» ՀՀ օրենքի 37-րդ հոդվածի 1-ին մասի  3-րդ կետը`</w:t>
            </w:r>
            <w:r w:rsidR="00D2152E" w:rsidRPr="00D2152E">
              <w:rPr>
                <w:rFonts w:ascii="GHEA Grapalat" w:hAnsi="GHEA Grapalat"/>
                <w:bCs/>
                <w:sz w:val="14"/>
                <w:szCs w:val="8"/>
                <w:lang w:val="hy-AM"/>
              </w:rPr>
              <w:t xml:space="preserve"> </w:t>
            </w:r>
            <w:r w:rsidRPr="00EF1D71">
              <w:rPr>
                <w:rFonts w:ascii="GHEA Grapalat" w:hAnsi="GHEA Grapalat"/>
                <w:bCs/>
                <w:sz w:val="14"/>
                <w:szCs w:val="8"/>
                <w:lang w:val="hy-AM"/>
              </w:rPr>
              <w:t>(ոչ մի հայտ չի ներկայացվել), իսկ ընթացակարգի  1-29-րդ, 31-րդ, 32-րդ, 34-րդ, 35-րդ, 36-րդ, 37-րդ, 39-րդ, 44-րդ, 45-րդ, 50-70-րդ, 73-82-րդ 85-րդ, 89-րդ, 93-րդ և 95-րդ չափաբաժինների մասով 1-ին մասի  1-ին կետը  (հայտերից որ մեկը չի համապատսխանում հրավերի պայմաններին):</w:t>
            </w:r>
          </w:p>
        </w:tc>
      </w:tr>
      <w:tr w:rsidR="0045105C" w:rsidRPr="00BF28B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9C2291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45105C" w:rsidRPr="00BF28B6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/>
                <w:sz w:val="12"/>
                <w:szCs w:val="14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Սահմանված կարգով իրականացվել </w:t>
            </w:r>
            <w:r w:rsidRPr="00443E7C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է </w:t>
            </w: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>օրենսդրությամբ նախատեսված հրապարակումները</w:t>
            </w:r>
          </w:p>
        </w:tc>
      </w:tr>
      <w:tr w:rsidR="0045105C" w:rsidRPr="00BF28B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9C2291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45105C" w:rsidRPr="00BF28B6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Գնման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գործընթացի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շրջանակներում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հակաօրինական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հայտնաբերվելու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դեպքում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դրանց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և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այդ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կապակցությամբ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ձեռնարկված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համառոտ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նկարագիրը</w:t>
            </w:r>
            <w:r w:rsidRPr="009C2291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45105C" w:rsidRPr="00BF28B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9C2291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45105C" w:rsidRPr="00BF28B6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  <w:vAlign w:val="center"/>
          </w:tcPr>
          <w:p w:rsidR="0045105C" w:rsidRPr="006F4CF8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6F4CF8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45105C" w:rsidRPr="006F4CF8" w:rsidRDefault="0045105C" w:rsidP="004D30C9">
            <w:pPr>
              <w:pStyle w:val="BodyTextIndent3"/>
              <w:ind w:firstLine="0"/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</w:pPr>
            <w:r w:rsidRPr="006F4CF8"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  <w:t>Ընթացակարգի վերաբերյալ բողոք չի ներկայացվել:</w:t>
            </w:r>
          </w:p>
        </w:tc>
      </w:tr>
      <w:tr w:rsidR="0045105C" w:rsidRPr="00BF28B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B61C15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</w:p>
        </w:tc>
      </w:tr>
      <w:tr w:rsidR="0045105C" w:rsidRPr="00115807" w:rsidTr="00844691">
        <w:trPr>
          <w:trHeight w:val="715"/>
          <w:jc w:val="center"/>
        </w:trPr>
        <w:tc>
          <w:tcPr>
            <w:tcW w:w="1354" w:type="pct"/>
            <w:gridSpan w:val="7"/>
            <w:shd w:val="clear" w:color="auto" w:fill="auto"/>
            <w:vAlign w:val="center"/>
          </w:tcPr>
          <w:p w:rsidR="0045105C" w:rsidRPr="00527BC2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4"/>
                <w:szCs w:val="8"/>
              </w:rPr>
            </w:pPr>
            <w:r w:rsidRPr="00527BC2">
              <w:rPr>
                <w:rFonts w:ascii="GHEA Grapalat" w:hAnsi="GHEA Grapalat"/>
                <w:bCs/>
                <w:sz w:val="14"/>
                <w:szCs w:val="8"/>
              </w:rPr>
              <w:t>Այլ անհրաժեշտ տեղեկություններ</w:t>
            </w:r>
          </w:p>
        </w:tc>
        <w:tc>
          <w:tcPr>
            <w:tcW w:w="3646" w:type="pct"/>
            <w:gridSpan w:val="22"/>
            <w:shd w:val="clear" w:color="auto" w:fill="auto"/>
            <w:vAlign w:val="center"/>
          </w:tcPr>
          <w:p w:rsidR="0045105C" w:rsidRPr="00844691" w:rsidRDefault="0045105C" w:rsidP="005E03E3">
            <w:pPr>
              <w:tabs>
                <w:tab w:val="left" w:pos="1248"/>
              </w:tabs>
              <w:spacing w:after="0"/>
              <w:rPr>
                <w:rFonts w:ascii="GHEA Grapalat" w:hAnsi="GHEA Grapalat"/>
                <w:bCs/>
                <w:sz w:val="14"/>
                <w:szCs w:val="8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 xml:space="preserve"> 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Հաշվի առնելով այն հանգամանքը, որ</w:t>
            </w:r>
            <w:r>
              <w:rPr>
                <w:rFonts w:ascii="GHEA Grapalat" w:hAnsi="GHEA Grapalat"/>
                <w:bCs/>
                <w:sz w:val="14"/>
                <w:szCs w:val="8"/>
              </w:rPr>
              <w:t xml:space="preserve"> 87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-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րդ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չափաբաժնում «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Նատալի Ֆարմ ՍՊԸ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-ի կողմից հրավերների օրինակելի ձևին համապատասխան ներկայացրած գնային առաջարկների ընդհանուր գումարները հրավերով նախատեսված քանակներին բաժանման արդյունքում ամբողջ թվերից հետո ստացվում են անվերջ մնացորդներ, որը հնարավորություն չի տալիս թե պայմանագրում թե «Client-Tresuary»-«LSFinance» համակարգում մուտքագրել այնպիսի միավորի գինը, որի և քանակի արտադրյալը համապատասխանի մասնակցի առաջարկած ընդամենը թվին, ուստի մ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ասնակց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ի համաձայնությամբ պայմանագ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իր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ը կնքվել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է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միավոր գների կլորացմամբ:</w:t>
            </w:r>
          </w:p>
        </w:tc>
      </w:tr>
      <w:tr w:rsidR="0045105C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9C2291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5105C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5105C" w:rsidRPr="00115807" w:rsidTr="00744D45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Անուն, Ազգանուն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Հեռախոս</w:t>
            </w: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Էլ. փոստի հասցեն</w:t>
            </w:r>
          </w:p>
        </w:tc>
      </w:tr>
      <w:tr w:rsidR="0045105C" w:rsidRPr="00115807" w:rsidTr="00744D45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>Անուշ Մաղաքյան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/>
                <w:i/>
                <w:sz w:val="14"/>
                <w:lang w:val="af-ZA"/>
              </w:rPr>
              <w:t>a.maghaqyan</w:t>
            </w:r>
            <w:r w:rsidRPr="00E80313">
              <w:rPr>
                <w:rFonts w:ascii="GHEA Grapalat" w:hAnsi="GHEA Grapalat"/>
                <w:b/>
                <w:i/>
                <w:sz w:val="14"/>
                <w:lang w:val="af-ZA"/>
              </w:rPr>
              <w:t>@mil.am։</w:t>
            </w:r>
          </w:p>
        </w:tc>
      </w:tr>
    </w:tbl>
    <w:p w:rsidR="004D30C9" w:rsidRDefault="004D30C9" w:rsidP="004D30C9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</w:pP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Պատվիրատու</w:t>
      </w:r>
      <w:r w:rsidRPr="00F377D8">
        <w:rPr>
          <w:rFonts w:ascii="GHEA Grapalat" w:hAnsi="GHEA Grapalat" w:cs="Arial Armenian"/>
          <w:b w:val="0"/>
          <w:i w:val="0"/>
          <w:sz w:val="12"/>
          <w:szCs w:val="12"/>
          <w:u w:val="none"/>
          <w:lang w:val="af-ZA"/>
        </w:rPr>
        <w:t xml:space="preserve">`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ՀՀ</w:t>
      </w:r>
      <w:r w:rsidRPr="00F377D8">
        <w:rPr>
          <w:rFonts w:ascii="GHEA Grapalat" w:hAnsi="GHEA Grapalat"/>
          <w:b w:val="0"/>
          <w:i w:val="0"/>
          <w:sz w:val="12"/>
          <w:szCs w:val="12"/>
          <w:u w:val="none"/>
          <w:lang w:val="af-ZA"/>
        </w:rPr>
        <w:t xml:space="preserve"> պաշտպանության 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նախարարություն</w:t>
      </w:r>
    </w:p>
    <w:p w:rsidR="00543DC6" w:rsidRDefault="00543DC6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092558" w:rsidRDefault="00092558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E15722" w:rsidRPr="005A5A63" w:rsidRDefault="00E15722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</w:pPr>
      <w:r w:rsidRPr="005A5A63"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  <w:t>Հավելված 1</w:t>
      </w:r>
    </w:p>
    <w:p w:rsidR="00ED13E2" w:rsidRDefault="00D7367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  <w:r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 xml:space="preserve">Ապրանքների տեխնիկական բնութագրեր` ըստ </w:t>
      </w:r>
      <w:r w:rsidR="00543DC6"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>պայամագրեր</w:t>
      </w:r>
    </w:p>
    <w:tbl>
      <w:tblPr>
        <w:tblW w:w="4849" w:type="pct"/>
        <w:tblLayout w:type="fixed"/>
        <w:tblLook w:val="04A0"/>
      </w:tblPr>
      <w:tblGrid>
        <w:gridCol w:w="95"/>
        <w:gridCol w:w="432"/>
        <w:gridCol w:w="339"/>
        <w:gridCol w:w="2362"/>
        <w:gridCol w:w="144"/>
        <w:gridCol w:w="137"/>
        <w:gridCol w:w="2829"/>
        <w:gridCol w:w="2417"/>
        <w:gridCol w:w="1419"/>
        <w:gridCol w:w="141"/>
        <w:gridCol w:w="566"/>
        <w:gridCol w:w="51"/>
        <w:gridCol w:w="16"/>
        <w:gridCol w:w="13"/>
        <w:gridCol w:w="1621"/>
        <w:gridCol w:w="297"/>
        <w:gridCol w:w="13"/>
        <w:gridCol w:w="115"/>
        <w:gridCol w:w="6"/>
        <w:gridCol w:w="29"/>
        <w:gridCol w:w="1240"/>
        <w:gridCol w:w="457"/>
        <w:gridCol w:w="16"/>
        <w:gridCol w:w="13"/>
        <w:gridCol w:w="83"/>
        <w:gridCol w:w="10"/>
        <w:gridCol w:w="29"/>
        <w:gridCol w:w="1093"/>
      </w:tblGrid>
      <w:tr w:rsidR="002E5F66" w:rsidRPr="000B6520" w:rsidTr="008062E1">
        <w:trPr>
          <w:trHeight w:val="20"/>
        </w:trPr>
        <w:tc>
          <w:tcPr>
            <w:tcW w:w="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F1D71" w:rsidRPr="000B6520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20"/>
              </w:rPr>
            </w:pP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20"/>
              </w:rPr>
              <w:t>Հ/Հ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F1D71" w:rsidRPr="000B6520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color w:val="000000"/>
                <w:sz w:val="14"/>
                <w:szCs w:val="20"/>
              </w:rPr>
            </w:pPr>
            <w:r w:rsidRPr="000B6520">
              <w:rPr>
                <w:rFonts w:ascii="GHEA Grapalat" w:eastAsia="Times New Roman" w:hAnsi="GHEA Grapalat" w:cs="Sylfaen"/>
                <w:b/>
                <w:color w:val="000000"/>
                <w:sz w:val="14"/>
                <w:szCs w:val="20"/>
              </w:rPr>
              <w:t>Ապրանքի CPV անվանում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F1D71" w:rsidRPr="000B6520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</w:pP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>Միջազգային համընդհանուր (ջե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 xml:space="preserve">ներիկ) կամ ակտիվ բաղադրատարրերի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>անվանումները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F1D71" w:rsidRPr="000B6520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</w:pP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>Դեղաձևը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F1D71" w:rsidRPr="000B6520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 xml:space="preserve">Դեղաչափը և թողարկման ձևը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20"/>
              </w:rPr>
              <w:t>(փաթեթավորումը)</w:t>
            </w:r>
          </w:p>
        </w:tc>
        <w:tc>
          <w:tcPr>
            <w:tcW w:w="5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F1D71" w:rsidRPr="000B6520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 xml:space="preserve">ԱՊՐԱՆՔԱՅԻՆ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ՆՇԱՆԸ</w:t>
            </w:r>
          </w:p>
        </w:tc>
        <w:tc>
          <w:tcPr>
            <w:tcW w:w="53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F1D71" w:rsidRPr="000B6520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  <w:t xml:space="preserve">ԱՐՏԱԴՐՈՂԻ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  <w:t>ԱՆՎԱՆՈՒՄԸ</w:t>
            </w:r>
          </w:p>
        </w:tc>
        <w:tc>
          <w:tcPr>
            <w:tcW w:w="53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EF1D71" w:rsidRPr="000B6520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 xml:space="preserve">ԾԱԳՄԱՆ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ԵՐԿԻՐԸ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 օռո- նազոտրախեալ արմիրացված փող ցածր ճնշման մանժետով N:6.5/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s-ES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օռո- նազո-տրախեալ արմիրացված փող ցածր ճնշման մանժետով N:7.0/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աջ 35FR/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s-ES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ձախ 35FR/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աջ 37FR/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s-ES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ձախ 37FR/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աջ 39FR/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s-ES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ձախ 39FR/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աջ 41FR/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ձախ 41FR/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օռո- նազո-տրախեալ արմիրացված փող ցածր ճնշման մանժետով N:7.5/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օռո- նազո-տրախեալ արմիրացված փող ցածր ճնշման մանժետով N:8.0/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6.0  «Հարավ»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6.5  «Հարավ»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7.0  «Հարավ»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7.5  «Հարավ»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8.0 «Հարավ»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Վիրափողեր (դրենաժներ) /Ներշնչափողային փող Blue Line ցածր </w:t>
            </w: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ճնշման մանժետով,N 6.0  «Հյուսիս»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lastRenderedPageBreak/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7.0  «Հյուսիս»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7.5  «Հյուսիս»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8.0  «Հյուսիս»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9.0  «Հյուսիս» թեքությամբ/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/Օռոֆարինգեալ օդամուղ N3/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/Տրախեոստոմիկ փողի հավաքածու վերմանժետային տարածության սանացիայի հնարավորությամբ/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/Տրախեոստոմիկ փողի հավաքածու վերմանժետային տարածության սանացիայի հնարավորությամբ/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/Տրախեոստոմիկ փողի հավաքածու վերմանժետային տարածության սանացիայի հնարավորությամբ/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Sacett N:7.0; վերմանժետային տարածության սանացիայի խողովակով, միանգամյա օգտագործման/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Վիրափողերի (դրենաժների) պարագաներ /Զտիչ բակտերիո-վիրուսային շնչական կոնտուրի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Վիրափողերի (դրենաժների) պարագաներ /Շնչական կոնտուր մեծահասակի, անեսթեզիայի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C079F6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Արյան փորձանմուշի վերցման նշտարներ 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Լանցետ Blood Lancets N200</w:t>
            </w:r>
          </w:p>
        </w:tc>
        <w:tc>
          <w:tcPr>
            <w:tcW w:w="1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N200 փաթեթավորումով տուփ</w:t>
            </w:r>
          </w:p>
        </w:tc>
        <w:tc>
          <w:tcPr>
            <w:tcW w:w="897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8"/>
              </w:rPr>
              <w:t>Արյան փորձանմուշի վերցման նշտարներ Լանցետ Blood Lancets N200</w:t>
            </w:r>
          </w:p>
        </w:tc>
        <w:tc>
          <w:tcPr>
            <w:tcW w:w="56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China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Բժշկական այլ գործիքներ և պարագաներ /CO2  աբսորբեր շնչական սարքերի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Բժշկական այլ գործիքներ և պարագաներ /CO2  աբսորբեր շնչական սարքերի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E5F66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Շպատել փայտե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Շպատել փայտյա</w:t>
            </w:r>
          </w:p>
        </w:tc>
        <w:tc>
          <w:tcPr>
            <w:tcW w:w="1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Փայտյա N100 գործարանային փաթեթավորումով տուփ,</w:t>
            </w:r>
          </w:p>
        </w:tc>
        <w:tc>
          <w:tcPr>
            <w:tcW w:w="897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Շպատել փայտյա</w:t>
            </w:r>
          </w:p>
        </w:tc>
        <w:tc>
          <w:tcPr>
            <w:tcW w:w="56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«ԼԵՅԿՈԱԼԵՔՍ»  ՍՊԸ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Հայաստան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/Զտիչ բակտերիո-վիրուսային, ջերմա-խոնավա-փոխանակային շնչական կոնտուրի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/Տաքացնող վերմակ/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/Տաքացնող վերմակ/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/Տաքացնող վերմակ/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GHEA Grapalat"/>
                <w:color w:val="000000"/>
                <w:sz w:val="16"/>
                <w:szCs w:val="16"/>
              </w:rPr>
              <w:t>Պերֆուզորի գիծ</w:t>
            </w:r>
          </w:p>
        </w:tc>
        <w:tc>
          <w:tcPr>
            <w:tcW w:w="1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Պոլիվինիլքլորիդից պատրաստված, լուեր լոք ծայրով խողովակ, առնվազն150սմ երկարությամբ, թափանցիկ, ծալվելուց լուսանցքը չփակվող</w:t>
            </w:r>
          </w:p>
        </w:tc>
        <w:tc>
          <w:tcPr>
            <w:tcW w:w="844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BALTON</w:t>
            </w:r>
          </w:p>
        </w:tc>
        <w:tc>
          <w:tcPr>
            <w:tcW w:w="57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BALTON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Լեհաստան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/Եռուղի 360* տարբեր գույների/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անզգայացմանասեղ 25G 150մմ  PAJUNK</w:t>
            </w:r>
          </w:p>
        </w:tc>
        <w:tc>
          <w:tcPr>
            <w:tcW w:w="1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25G ինտրադյուսերով Sprotte, երկ-150մմ,սմ-ային սանդղակով, տրամագիծը-0.5մմ, ինտրադյուսերը 0.8մմ</w:t>
            </w:r>
          </w:p>
        </w:tc>
        <w:tc>
          <w:tcPr>
            <w:tcW w:w="84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8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8062E1">
        <w:trPr>
          <w:gridBefore w:val="1"/>
          <w:wBefore w:w="30" w:type="pct"/>
          <w:trHeight w:val="953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անզգայացմանասեղ 25G 120մմ  PAJUNK</w:t>
            </w:r>
          </w:p>
        </w:tc>
        <w:tc>
          <w:tcPr>
            <w:tcW w:w="1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25G ինտրադյուսերով Sprotte, երկ-120մմ,սմ-ային սանդղակով, տրամագիծը-0.5մմ, ինտրադյուսերը 0.8մմ</w:t>
            </w:r>
          </w:p>
        </w:tc>
        <w:tc>
          <w:tcPr>
            <w:tcW w:w="84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80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42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անզգայացմանասեղ 29G 99մմ  PAJUNK</w:t>
            </w:r>
          </w:p>
        </w:tc>
        <w:tc>
          <w:tcPr>
            <w:tcW w:w="12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29G ինտրադյուսերով, Sprotte երկ-90մմ,տրամագիծը-0.33մմ,</w:t>
            </w:r>
          </w:p>
        </w:tc>
        <w:tc>
          <w:tcPr>
            <w:tcW w:w="8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Էպիդուրալ անզգայացմանասեղ Տուոհի տիպի 18G 150մմPAJUNK REF:11504K150</w:t>
            </w:r>
          </w:p>
        </w:tc>
        <w:tc>
          <w:tcPr>
            <w:tcW w:w="12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Տուոհի տիպի էպիդուրալ ասեղ չափսը 18G-1.2մմ,երկարությունը 150 մմ,սմ-ային սանդղակով, պողպատե ստիլետով</w:t>
            </w:r>
          </w:p>
        </w:tc>
        <w:tc>
          <w:tcPr>
            <w:tcW w:w="8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</w:tc>
        <w:tc>
          <w:tcPr>
            <w:tcW w:w="5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PAJUNKM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edizin technologie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EF1D71" w:rsidRPr="00EF1D71" w:rsidTr="008062E1">
        <w:trPr>
          <w:gridBefore w:val="1"/>
          <w:wBefore w:w="30" w:type="pct"/>
          <w:trHeight w:val="256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/Էպիդուրալ ասեղ/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417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/Սպինալ անզգայացման ասեղ/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անզգայացմանասեղ 25G  90մմ  PAJUNK</w:t>
            </w:r>
          </w:p>
        </w:tc>
        <w:tc>
          <w:tcPr>
            <w:tcW w:w="1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25G ինտրադյուսերով Sprotte երկ-90մմտրամագիծը-0.5մմ, ինտրադյուսերը 0.8մմ,</w:t>
            </w:r>
          </w:p>
        </w:tc>
        <w:tc>
          <w:tcPr>
            <w:tcW w:w="84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8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27G Sprotte տիպիինտրադյուսերով 27G 90մմ  PAJUNK</w:t>
            </w:r>
          </w:p>
        </w:tc>
        <w:tc>
          <w:tcPr>
            <w:tcW w:w="1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27G ինտրադյուսերով Sprotte երկ-90մմտրամագիծը-0.4մմ, ինտրադյուսերը 0.7մմ,</w:t>
            </w:r>
          </w:p>
        </w:tc>
        <w:tc>
          <w:tcPr>
            <w:tcW w:w="84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8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Էնդոտրախեալ փողիֆիքսատոր մեծ VBM REF; 40-0010-044</w:t>
            </w:r>
          </w:p>
        </w:tc>
        <w:tc>
          <w:tcPr>
            <w:tcW w:w="1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Օռալ/նազալ Էնդոտրախեալ փողի ֆիքսատոր փափուկ, չկտրվող</w:t>
            </w:r>
          </w:p>
        </w:tc>
        <w:tc>
          <w:tcPr>
            <w:tcW w:w="84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</w:tc>
        <w:tc>
          <w:tcPr>
            <w:tcW w:w="58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Medizintechnik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Տրախեոստոմիկ փողիֆիքսատոր մեծ VBM REF; 40-0008-033</w:t>
            </w:r>
          </w:p>
        </w:tc>
        <w:tc>
          <w:tcPr>
            <w:tcW w:w="1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Տրախեոստոմիկ փողի ֆիքսատոր փափուկ, չկտրվող, առանձին ստերիլփաթեթավորումով</w:t>
            </w:r>
          </w:p>
        </w:tc>
        <w:tc>
          <w:tcPr>
            <w:tcW w:w="842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</w:tc>
        <w:tc>
          <w:tcPr>
            <w:tcW w:w="58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Medizintechnik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/Էպիդուրալ անզգայացման հավաքածու- մինիպակ ֆիքսատրով/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/Էպիդուրալ անզգայացման հավաքածու- մինիպակ ֆիքսատրով/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/Շնչական կոնտուր մեծահասակի, անեսթեզիայի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/Փակ ասպիրացիոն համակարգ՝ «Suction Pro 72» տրախեոստոմիկ փողի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/Փակ ասպիրացիոն համակարգ  «Suction Pro 72» էնդոտրախեալ փողի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/Տրախեոստոմիայի հավաքածու Հովարդ-Քելլի սեղմակով/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/Տրախեոստոմիայի հավաքածու Հովարդ-Քելլի սեղմակով/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/Տրախեոստոմիայի հավաքածու Հովարդ-Քելլի սեղմակով/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/Կոննեկտոր շնչական, գոֆրեային/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/Կոննեկտոր շնչական, գոֆրեային, անկյունային, բրոնխոսկոպի պորտով/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/Ներշնչափողային փող Sacett N:7.5;  վերմանժետային տարածության սանացիայի խողովակով, միանգամյա օգտագործման/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/Ներշնչափողային փող Sacett N:8.0; վերմանժետային տարածության սանացիայի խողովակով, միանգամյա օգտագործման/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/Ներշնչափողային փող Sacett N:8.5; վերմանժետային տարածության սանացիայի խողովակով, միանգամյա օգտագործման/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/Ներշնչափողային փող Sacett N:9.0 վերմանժետային տարածության սանացիայի խողովակով, միանգամյա օգտագործման/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55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64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/Տրախեոստոմիկ փողի հավաքածու, արմիրացված, երկարության փոփոխման հնարավորությամբ/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/Տրախեոստոմիկ փողի հավաքածու, արմիրացված, երկարության փոփոխման հնարավորությամբ/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/Կրիկոթիրեոիդոտոմիայի հավաքածու PCK/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/Շնչական կոնտուր մեծահասակի  60 “/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/Ինտուբացիոն ստիլետ/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/Ինտուբացիոն ստիլետ/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/Ինտուբացիոն ստիլետ/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Տուրնիկետ</w:t>
            </w:r>
          </w:p>
        </w:tc>
        <w:tc>
          <w:tcPr>
            <w:tcW w:w="144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Նախատեսված է արյան վերցման օժանդակման համար, ամուր, էլաստիկ նյութից է, միացված պլաստմասե սեղմակով:</w:t>
            </w:r>
          </w:p>
        </w:tc>
        <w:tc>
          <w:tcPr>
            <w:tcW w:w="6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8"/>
              </w:rPr>
              <w:t>Անզգայացման գործիքներ Տուրնիկետ</w:t>
            </w:r>
          </w:p>
        </w:tc>
        <w:tc>
          <w:tcPr>
            <w:tcW w:w="5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China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ԱՄԲՈՒ տիպի շնչականպարկմեծահասակիVBM REF;84-10-195</w:t>
            </w:r>
          </w:p>
        </w:tc>
        <w:tc>
          <w:tcPr>
            <w:tcW w:w="1446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Պարկը 1500-1800մլ, պահեստային պարկը 2500-2700 մլ; 40սմ H2Oճնշում ապահովող, 200սմ Օ2 խողովակով</w:t>
            </w:r>
          </w:p>
        </w:tc>
        <w:tc>
          <w:tcPr>
            <w:tcW w:w="6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</w:tc>
        <w:tc>
          <w:tcPr>
            <w:tcW w:w="5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VBMMedizintechnik</w:t>
            </w:r>
          </w:p>
        </w:tc>
        <w:tc>
          <w:tcPr>
            <w:tcW w:w="38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/Էպիդուրալ անզգայացման հավաքածու- մինիպակ ֆիքսատրով երկար ասեղով/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/Հավաքածու սպինալ-էպիդուրալ անզգայացման համար/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լարինգիալ  /կոկորդային/ 3,0/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լարինգիալ  /կոկորդային/ 4,0/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լարինգիալ  /կոկորդային/ 5,0/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չափահասի մեծ/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չափահասի միջին/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չափահասի փոքր/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մեծահասակի միջին/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մեծահասակի փոքր/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Բժշկական օգնության միջոցներ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Տոնոմետր ֆոնէնդոսկոպով</w:t>
            </w:r>
          </w:p>
        </w:tc>
        <w:tc>
          <w:tcPr>
            <w:tcW w:w="14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Չափման տիրույթը` 20-300մմ. Սնդ. Սյուն,  չափման ճշտությունը +/- 3 մմ սնդ սյուն; պարունակում է` քրոմացված մանոմետր, լատեքսից պնևմոխցիկ, մետաղական ֆոնենդոսկոպ, փաթեթավորված առանձին տուփերով, որոնք պետք է պատրաստված լինեն միկրոգոֆրոկարտոնից:</w:t>
            </w:r>
          </w:p>
        </w:tc>
        <w:tc>
          <w:tcPr>
            <w:tcW w:w="60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Տոնոմետր ֆոնէնդոսկոպով</w:t>
            </w:r>
          </w:p>
        </w:tc>
        <w:tc>
          <w:tcPr>
            <w:tcW w:w="58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Վուքսի Մեդիքալ Ինստրումենտ Ֆակտորի </w:t>
            </w:r>
          </w:p>
        </w:tc>
        <w:tc>
          <w:tcPr>
            <w:tcW w:w="38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Չինաստան</w:t>
            </w:r>
          </w:p>
        </w:tc>
      </w:tr>
      <w:tr w:rsidR="008062E1" w:rsidRPr="00EF1D71" w:rsidTr="00950B54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8"/>
              </w:rPr>
              <w:t>Բժշկական օգնության միջոցներ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Դեղատուփ ավտոմոբիլային</w:t>
            </w:r>
          </w:p>
        </w:tc>
        <w:tc>
          <w:tcPr>
            <w:tcW w:w="14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8"/>
              </w:rPr>
              <w:t>Համալրված՝ -ամիակի լ-թ 10% 25մլ-1 հատ, յոդի սպիրտային լ-թ 5% 10 մլ- 1 հատ, բինտ 7մx14սմ ստերիլ -4 հատ, լեյկոպլաստ N 10 («Սանտավիկ»)-1 հատ, անալգին 0.5 N10 -1 տուփ, վալիդոլ N10 -1տուփ, լարան արենականգ (Էսմարխի, երկրորդ տիպի-պլասմասսե կոճակով, չափերը-մմ՝ 1400x 25x2)- 1 հատ: Փաթեթավորված՝ կաշվի փոխարինիչից պատրաստված, առնվազն 200x130x70 մմ չափերի, բռնակով տուփի մեջ: Տուփը կողային մակերեսին՝ վերին մասից պետք է ունենա առնվազն 30 սմ երկարությամբ շղթայե փական (молния), իսկ  վերևի մակերեսի կենտրոնում՝ կաշվի փոխարինիչից պատրաստված սպիտակ շրջանակով կարմիր խաչ:</w:t>
            </w:r>
          </w:p>
        </w:tc>
        <w:tc>
          <w:tcPr>
            <w:tcW w:w="60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Դեղատուփ ավտոմոբիլային</w:t>
            </w:r>
          </w:p>
        </w:tc>
        <w:tc>
          <w:tcPr>
            <w:tcW w:w="58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«ԼԵՅԿՈԱԼԵՔՍ»  ՍՊԸ</w:t>
            </w:r>
          </w:p>
        </w:tc>
        <w:tc>
          <w:tcPr>
            <w:tcW w:w="38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Հայաստան</w:t>
            </w:r>
          </w:p>
        </w:tc>
      </w:tr>
      <w:tr w:rsidR="00EF1D71" w:rsidRPr="00EF1D71" w:rsidTr="00950B54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85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Էնտերալ սնուցում /Նուտրիզոն էներջի 1.5 կկալ/մլ,  500մլ/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Քիմիական ազդանյութեր (ռեագենտներ) /Քիմ. ռեակտիվների կ-տ/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Ռենտգենի կոնտրաստային նյութեր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Օմնիպակ-350 100 մլ</w:t>
            </w:r>
          </w:p>
        </w:tc>
        <w:tc>
          <w:tcPr>
            <w:tcW w:w="14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100մլ սրվակ, պարունակի իոհեքսոլ նյութերը, ֆլակոն</w:t>
            </w:r>
          </w:p>
        </w:tc>
        <w:tc>
          <w:tcPr>
            <w:tcW w:w="6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Օմնիպակ</w:t>
            </w:r>
          </w:p>
        </w:tc>
        <w:tc>
          <w:tcPr>
            <w:tcW w:w="5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Ջի ի Հելսքեըր</w:t>
            </w:r>
          </w:p>
        </w:tc>
        <w:tc>
          <w:tcPr>
            <w:tcW w:w="38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Իռլանիդիա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Մեկանգամյա օգտագործման տակդիրներ /Տակդիր մեծի/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 /ՌՕԷ պիպետկա/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Բաժակ (ջերմակայուն)</w:t>
            </w:r>
          </w:p>
        </w:tc>
        <w:tc>
          <w:tcPr>
            <w:tcW w:w="14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400մլ տարողությամբ, նշագծումով, գործարանային տուփ</w:t>
            </w:r>
          </w:p>
        </w:tc>
        <w:tc>
          <w:tcPr>
            <w:tcW w:w="6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ООО Минимед </w:t>
            </w:r>
          </w:p>
        </w:tc>
        <w:tc>
          <w:tcPr>
            <w:tcW w:w="5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ООО Минимед</w:t>
            </w:r>
          </w:p>
        </w:tc>
        <w:tc>
          <w:tcPr>
            <w:tcW w:w="38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ՌԴ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Նիշավորված շշեր</w:t>
            </w:r>
          </w:p>
        </w:tc>
        <w:tc>
          <w:tcPr>
            <w:tcW w:w="14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 մլ  տարողությամբ, նշագծումով, գործարանային տուփ</w:t>
            </w:r>
          </w:p>
        </w:tc>
        <w:tc>
          <w:tcPr>
            <w:tcW w:w="6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Jiangsu zhongda</w:t>
            </w:r>
          </w:p>
        </w:tc>
        <w:tc>
          <w:tcPr>
            <w:tcW w:w="5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Jiangsu zhongda</w:t>
            </w:r>
          </w:p>
        </w:tc>
        <w:tc>
          <w:tcPr>
            <w:tcW w:w="38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ՉԺՀ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Նիշավորված շշեր</w:t>
            </w:r>
          </w:p>
        </w:tc>
        <w:tc>
          <w:tcPr>
            <w:tcW w:w="144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 մլ  տարողությամբ, նշագծումով, գործարանային տուփ</w:t>
            </w:r>
          </w:p>
        </w:tc>
        <w:tc>
          <w:tcPr>
            <w:tcW w:w="6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Jiangsu zhongda</w:t>
            </w:r>
          </w:p>
        </w:tc>
        <w:tc>
          <w:tcPr>
            <w:tcW w:w="58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Jiangsu zhongda</w:t>
            </w:r>
          </w:p>
        </w:tc>
        <w:tc>
          <w:tcPr>
            <w:tcW w:w="38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ՉԺՀ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 /Բուտիրոմետրեր կաթնային (0-6,0)/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Ծածկապակի</w:t>
            </w:r>
          </w:p>
        </w:tc>
        <w:tc>
          <w:tcPr>
            <w:tcW w:w="1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Ապակի N100 կամ այլ քանակի, ստերիլ գործարանային փաթեթավորումով տուփ, կոտրվող</w:t>
            </w:r>
          </w:p>
        </w:tc>
        <w:tc>
          <w:tcPr>
            <w:tcW w:w="60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ООО Минимед </w:t>
            </w:r>
          </w:p>
        </w:tc>
        <w:tc>
          <w:tcPr>
            <w:tcW w:w="582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ООО Минимед</w:t>
            </w:r>
          </w:p>
        </w:tc>
        <w:tc>
          <w:tcPr>
            <w:tcW w:w="39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ՌԴ</w:t>
            </w:r>
          </w:p>
        </w:tc>
      </w:tr>
      <w:tr w:rsidR="00EF1D7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 /ՈՒրոմետր/</w:t>
            </w:r>
          </w:p>
        </w:tc>
        <w:tc>
          <w:tcPr>
            <w:tcW w:w="3018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 Լաբորատորիայի կաթոցիչներ և պարագաներ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Բաժակ պոլիպրոպիլենից</w:t>
            </w:r>
          </w:p>
        </w:tc>
        <w:tc>
          <w:tcPr>
            <w:tcW w:w="1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120մլ տարողությամբ, նշագծումով, կոտրվող, գործարանային տուփ</w:t>
            </w:r>
          </w:p>
        </w:tc>
        <w:tc>
          <w:tcPr>
            <w:tcW w:w="6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Բաժակ պոլիպրոպիլենից</w:t>
            </w:r>
          </w:p>
        </w:tc>
        <w:tc>
          <w:tcPr>
            <w:tcW w:w="58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 «ԼԵՅԿՈԱԼԵՔՍ»  ՍՊԸ</w:t>
            </w:r>
          </w:p>
        </w:tc>
        <w:tc>
          <w:tcPr>
            <w:tcW w:w="38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Հայաստան</w:t>
            </w:r>
          </w:p>
        </w:tc>
      </w:tr>
      <w:tr w:rsidR="008062E1" w:rsidRPr="00EF1D71" w:rsidTr="008062E1">
        <w:trPr>
          <w:gridBefore w:val="1"/>
          <w:wBefore w:w="30" w:type="pct"/>
          <w:trHeight w:val="20"/>
        </w:trPr>
        <w:tc>
          <w:tcPr>
            <w:tcW w:w="2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 Լաբորատորիայի կաթոցիչներ և պարագաներ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Տրանսպորտային համակարգ Uniter նմուշառման համար/</w:t>
            </w:r>
          </w:p>
        </w:tc>
        <w:tc>
          <w:tcPr>
            <w:tcW w:w="143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Տրանսպորտային համակարգ Uniter նմուշառման համար/ստերիլ տամպոնը և փորձանոթը միջավայրով պլաստմասե ձողիկ բամբակով Ստյուարտ միջավայրով պլաստմասե փորձանոթի մեջ UNI-TER SWABS STUART CLR. PLASTIC STICK COTTON HEA ֆորմատ` 100</w:t>
            </w:r>
          </w:p>
        </w:tc>
        <w:tc>
          <w:tcPr>
            <w:tcW w:w="6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Uni-ter</w:t>
            </w:r>
          </w:p>
        </w:tc>
        <w:tc>
          <w:tcPr>
            <w:tcW w:w="583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Kima</w:t>
            </w:r>
          </w:p>
        </w:tc>
        <w:tc>
          <w:tcPr>
            <w:tcW w:w="38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Իտալիա</w:t>
            </w:r>
          </w:p>
        </w:tc>
      </w:tr>
    </w:tbl>
    <w:p w:rsidR="00BD45E6" w:rsidRPr="00950B54" w:rsidRDefault="00BD45E6" w:rsidP="00BD45E6">
      <w:pPr>
        <w:ind w:firstLine="567"/>
        <w:jc w:val="both"/>
        <w:rPr>
          <w:rFonts w:ascii="GHEA Grapalat" w:hAnsi="GHEA Grapalat" w:cs="Sylfaen"/>
          <w:sz w:val="16"/>
          <w:szCs w:val="17"/>
          <w:lang w:val="es-ES"/>
        </w:rPr>
      </w:pPr>
      <w:r w:rsidRPr="00950B54">
        <w:rPr>
          <w:rFonts w:ascii="GHEA Grapalat" w:hAnsi="GHEA Grapalat" w:cs="Sylfaen"/>
          <w:sz w:val="16"/>
          <w:szCs w:val="17"/>
          <w:lang w:val="es-ES"/>
        </w:rPr>
        <w:t xml:space="preserve">Քանի որ 97-րդ չափաբաժնի մասով առաջարկվող ապրանքի տեխնիկական բնութագիրը տարբերվում էր </w:t>
      </w:r>
      <w:r w:rsidR="00950B54" w:rsidRPr="00950B54">
        <w:rPr>
          <w:rFonts w:ascii="GHEA Grapalat" w:hAnsi="GHEA Grapalat" w:cs="Sylfaen"/>
          <w:sz w:val="16"/>
          <w:szCs w:val="17"/>
          <w:lang w:val="es-ES"/>
        </w:rPr>
        <w:t>հ</w:t>
      </w:r>
      <w:r w:rsidRPr="00950B54">
        <w:rPr>
          <w:rFonts w:ascii="GHEA Grapalat" w:hAnsi="GHEA Grapalat" w:cs="Sylfaen"/>
          <w:sz w:val="16"/>
          <w:szCs w:val="17"/>
          <w:lang w:val="es-ES"/>
        </w:rPr>
        <w:t>րավերով սահմանված տեխնիկական բնութագրից, ուստի դրա համարժեքության հարցը գնահատելու համար հանձնաժողովը, հիմք ընդունելով պատասխանատու ստորաբաժանման կողմից ներկայացված մասնագիտական եզրակացությունը որոշեց մասնակցի առաջարկը գնահատել հրավերի պահանջներին համապատասխան (համարժեք):</w:t>
      </w:r>
    </w:p>
    <w:p w:rsidR="00EF1D71" w:rsidRPr="00BD45E6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es-ES"/>
        </w:rPr>
      </w:pPr>
    </w:p>
    <w:p w:rsidR="00EF1D71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F1D71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F1D71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F1D71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91293" w:rsidRDefault="00E91293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E91293" w:rsidRDefault="00E91293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966377" w:rsidRDefault="00966377" w:rsidP="00966377">
      <w:pPr>
        <w:jc w:val="center"/>
        <w:rPr>
          <w:rFonts w:ascii="Sylfaen" w:hAnsi="Sylfaen" w:cs="Sylfaen"/>
          <w:b/>
          <w:sz w:val="24"/>
          <w:lang w:val="af-ZA"/>
        </w:rPr>
      </w:pPr>
      <w:r w:rsidRPr="00966377">
        <w:rPr>
          <w:rFonts w:ascii="Sylfaen" w:hAnsi="Sylfaen" w:cs="Sylfaen"/>
          <w:b/>
          <w:sz w:val="24"/>
          <w:lang w:val="af-ZA"/>
        </w:rPr>
        <w:t>Ապրանքների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տեխնիկական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բնութագրեր</w:t>
      </w:r>
      <w:r w:rsidRPr="00966377">
        <w:rPr>
          <w:b/>
          <w:sz w:val="24"/>
          <w:lang w:val="af-ZA"/>
        </w:rPr>
        <w:t xml:space="preserve">` </w:t>
      </w:r>
      <w:r w:rsidRPr="00966377">
        <w:rPr>
          <w:rFonts w:ascii="Sylfaen" w:hAnsi="Sylfaen" w:cs="Sylfaen"/>
          <w:b/>
          <w:sz w:val="24"/>
          <w:lang w:val="af-ZA"/>
        </w:rPr>
        <w:t>ըստ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հրավերի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1684"/>
        <w:gridCol w:w="3207"/>
        <w:gridCol w:w="7868"/>
        <w:gridCol w:w="1229"/>
        <w:gridCol w:w="1055"/>
        <w:gridCol w:w="873"/>
      </w:tblGrid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96480">
              <w:rPr>
                <w:rFonts w:ascii="GHEA Grapalat" w:hAnsi="GHEA Grapalat"/>
                <w:b/>
                <w:sz w:val="14"/>
                <w:szCs w:val="14"/>
                <w:lang w:val="pt-BR"/>
              </w:rPr>
              <w:t>Չ/հ</w:t>
            </w:r>
          </w:p>
        </w:tc>
        <w:tc>
          <w:tcPr>
            <w:tcW w:w="511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96480">
              <w:rPr>
                <w:rFonts w:ascii="GHEA Grapalat" w:hAnsi="GHEA Grapalat"/>
                <w:b/>
                <w:sz w:val="14"/>
                <w:szCs w:val="14"/>
                <w:lang w:val="pt-BR"/>
              </w:rPr>
              <w:t>Ապրանքի CPV անվանում</w:t>
            </w:r>
          </w:p>
        </w:tc>
        <w:tc>
          <w:tcPr>
            <w:tcW w:w="973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96480">
              <w:rPr>
                <w:rFonts w:ascii="GHEA Grapalat" w:hAnsi="GHEA Grapalat"/>
                <w:b/>
                <w:sz w:val="14"/>
                <w:szCs w:val="14"/>
                <w:lang w:val="pt-BR"/>
              </w:rPr>
              <w:t>ԱՆՎԱՆՈՒՄ</w:t>
            </w:r>
          </w:p>
        </w:tc>
        <w:tc>
          <w:tcPr>
            <w:tcW w:w="2387" w:type="pct"/>
            <w:tcBorders>
              <w:bottom w:val="nil"/>
            </w:tcBorders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96480">
              <w:rPr>
                <w:rFonts w:ascii="GHEA Grapalat" w:hAnsi="GHEA Grapalat"/>
                <w:b/>
                <w:sz w:val="14"/>
                <w:szCs w:val="14"/>
              </w:rPr>
              <w:t>Տեխնիկական հատկանիշներ</w:t>
            </w:r>
          </w:p>
        </w:tc>
        <w:tc>
          <w:tcPr>
            <w:tcW w:w="373" w:type="pct"/>
            <w:vAlign w:val="center"/>
          </w:tcPr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 xml:space="preserve">ԱՊՐԱՆՔԱՅԻՆ </w:t>
            </w:r>
          </w:p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>ՆՇԱՆԸ</w:t>
            </w:r>
          </w:p>
        </w:tc>
        <w:tc>
          <w:tcPr>
            <w:tcW w:w="320" w:type="pct"/>
            <w:vAlign w:val="center"/>
          </w:tcPr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>ԱՐՏԱԴՐՈՂԻ</w:t>
            </w:r>
          </w:p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>ԱՆՎԱՆՈՒՄԸ</w:t>
            </w:r>
          </w:p>
        </w:tc>
        <w:tc>
          <w:tcPr>
            <w:tcW w:w="265" w:type="pct"/>
            <w:vAlign w:val="center"/>
          </w:tcPr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 xml:space="preserve">ԾԱԳՄԱՆ </w:t>
            </w:r>
          </w:p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>ԵՐԿԻՐԸ</w:t>
            </w: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                                  օռո- նազոտրախեալ արմիրացված փող ցածր ճնշման մանժետով N:6.5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օրո-նազո-տրախեալ ինտուբացիայի համար: Պատրաստված է թափանցիկ, թերմոպլաստիկ, իմպլանտացիոն  ոչ-տոքսիկ  պոլիվինիլքլորիդից,արմիրացված չժանգոտող պողպատով:  Մանժետը հատուկ գերնուրբ` Soft-Seal տեսակի,տանձաձև կառուցվածքի(Profile),Փողի կտրվածքը կորացված: Մերֆիի տիպ: Փողի երկայնական սմ-ային սանդղակ:  Ստերիլ փաթեթավորում: Չափսը 6.5մմ: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օռո- նազո-տրախեալ արմիրացված փող ցածր ճնշման մանժետով N:7.0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օրո-նազո-տրախեալ ինտուբացիայի համար:Պատրաստված է թափանցիկ, թերմոպլաստիկ, իմպլանտացիոն  ոչ-տոքսիկ  պոլիվինիլքլորիդից,արմիրացված չժանգոտող պողպատով:  Մանժետը հատուկ գերնուրբ`Soft-Seal տեսակի,տանձաձև կառուցվածքի (Profile),Փողի կտրվածքը կորացված: Մերֆիի տիպ: Փողի երկայնական սմ-ային սանդղակ:  Ստերիլ փաթեթավորում: Չափսը 7.0մմ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35FR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35FR: Կազմը՝ 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35FR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35FR 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37FR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37FR 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37FR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37FR 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39FR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39FR : Կազմը՝ 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39FR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39FR 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41FR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41FR: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41FR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41FR: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982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օռո- նազո-տրախեալ արմիրացված փող ցածր ճնշման մանժետով N:7.5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օրո-նազո-տրախեալ ինտուբացիայի համար:Պատրաստված է թափանցիկ, թերմոպլաստիկ, իմպլանտացիոն ոչ-տոքսիկ պոլիվինիլքլորիդից,արմիրացված չժանգոտող պողպատով: Մանժետը հատուկ գերնուրբ`Soft-Seal տեսակի,տանձաձև կառուցվածքի(Profile),Փողի կտրվածքը կորացված: Մերֆիի տիպ: Փողի երկայնական սմ-ային սանդղակ: Ստերիլ փաթեթավորում: Չափսը 7.5 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օռո- նազո-տրախեալ արմիրացված փող ցածր ճնշման մանժետով N:8.0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Նախատեսված է դիմածնոտային, LOR և նեյրովիրաբուժական վիրահատությունների անեսթեզիայի օրո-նազո-տրախեալ ինտուբացիայի համար:Պատրաստված է թափանցիկ, թերմոպլաստիկ, իմպլանտացիոնոչ-տոքսիկ պոլիվինիլքլորիդից,արմիրացված չժանգոտող պողպատով: Մանժետը հատուկ գերնուրբ`Soft-Seal տեսակի,տանձաձև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կառուցվածքի(Profile),Փողի կտրվածքը կորացված: Մերֆիի տիպ: Փողի երկայնական սմ-ային սանդղակ: Ստերիլ փաթեթավորում: Չափսը 8.0մմ: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13.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6.0 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 Մերֆիի անցքի առկայությամբ: Փողի երկայնական ռենտգեն պոզիտիվ գծի առկայությամբ: Փողի երկայնական սմ-ային սանդղակ: Ստերիլ փաթեթավորում: Չափսը 6.0մմ: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6.5 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6.5մմ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7.0 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7.0մմ: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7.5 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7.5մմ: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8.0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8.0մմ: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6.0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6.0մմ: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7.0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7.0մմ: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7.5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7.5մմ: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8.0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8.0մմ: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9.0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9.0մմ: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Օռոֆարինգեալ օդամուղ N3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հատուկ պոլիվինիլքլորիդից,սահուն-հարթ մակերեսով,կորացված եզրերով,սանացիոն անցքով: Չափսը 3 /10սմ/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վերմանժետային տարածության սանացիայի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Տրախեոստոմիկ փողի հավաքածու մանժետով, վերմանժետային տարածության սանացիայի հնարավորությամբ, կոմպլեկտի մեջ ներառված գերփափուկ մանժետով տրախեոստոմիկ փող, փողի ներդիրներ 2 հատ, ֆիքսման երիզ, խոզանակ: Խողովակի թեքության անկյունը անատոմիական՝ 105 աստիճան. Թերմոպլաստիկ նյութերի շնորհիվ` մարմնի ջերմաստիճանում դառնում է ավելի փափուկ և պլաստիկ՝ փոխելով ձևը հիվանդի անատոմիական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առանձնահատկություններին համապատասխան: Չափսը 8.5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25.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վերմանժետային տարածության սանացիայի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մանժետով, վերմանժետային տարածության սանացիայի հնարավորությամբ, կոմպլեկտի մեջ ներառված գերփափուկ մանժետով տրախեոստոմիկ փող, փողի ներդիրներ 2 հատ, ֆիքսման երիզ, խոզանակ: Խողովակի թեքության անկյունը անատոմիական՝ 105 աստիճան. Թերմոպլաստիկ նյութերի շնորհիվ` մարմնի ջերմաստիճանում դառնում է ավելի փափուկ և պլաստիկ՝ փոխելով ձևը հիվանդի անատոմիա</w:t>
            </w:r>
            <w:r w:rsidRPr="00D929A2">
              <w:rPr>
                <w:rFonts w:ascii="GHEA Grapalat" w:hAnsi="GHEA Grapalat"/>
                <w:sz w:val="14"/>
                <w:szCs w:val="14"/>
              </w:rPr>
              <w:softHyphen/>
              <w:t>կան առանձնահատկություններին համապատասխան: Չափսը 9.0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վերմանժետային տարածության սանացիայի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մանժետով, վերմանժետային տարածության սանացիայի հնարավորությամբ, կոմպլեկտի մեջ ներառված գերփափուկ մանժետով տրախեոստոմիկ փող, փողի ներդիրներ 2 հատ, ֆիքսման երիզ, խոզանակ: Խողովակի թեքության անկյունը անատոմիական՝ 105 աստիճան. Թերմոպլաստիկ նյութերի շնորհիվ` մարմնի ջերմաստիճանում դառնում է ավելի փափուկ և պլաստիկ՝ փոխելով ձևը հիվանդի անատոմիա</w:t>
            </w:r>
            <w:r w:rsidRPr="00D929A2">
              <w:rPr>
                <w:rFonts w:ascii="GHEA Grapalat" w:hAnsi="GHEA Grapalat"/>
                <w:sz w:val="14"/>
                <w:szCs w:val="14"/>
              </w:rPr>
              <w:softHyphen/>
              <w:t>կան առանձնահատկություններին համապատասխան: Չափսը 10.0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Sacett N:7.0; 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թափանցիկ,թերմոպլաստիկ, իմպլանտացիոն ոչ-տոքսիկ պոլիվինիլքլորիդից,ունի առանձին ասպիրացիոն խողովակ վերմանժետային տարածության սանացիայի համար (Sacett), մանժետը հատուկ գերնուրբ    (Soft-Seal) տեսակի, տանձաձև կառուցվածքի (Profile),Փողի կտրվածքը կորացված, Մերֆիի անցքի առկայությամբ, Փողի երկայնական ռենտգեն պոզիտիվ գծի առկայությամբ: Չափը 7.0: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Վիրափողերի (դրենաժների)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Զտիչ բակտերիո-վիրուսային շնչական կոնտուրի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Բակտերիովիրուսային զտիչ շնչառական կոնտուրի համար</w:t>
            </w:r>
            <w:r w:rsidR="0077653E" w:rsidRPr="00D929A2">
              <w:rPr>
                <w:rFonts w:ascii="GHEA Grapalat" w:hAnsi="GHEA Grapalat"/>
                <w:sz w:val="14"/>
                <w:szCs w:val="14"/>
              </w:rPr>
              <w:t xml:space="preserve">:  </w:t>
            </w: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պլաստմասսայից, միացման չափսը 15/15-22,զտիչը բակտերիո-վիրուսային, ֆիլտրացիայի աստիճանը 99.999% 24ժամ ԹԱՇ-ի համար, քաշը 20գ-ից ոչ ավել, հոսքի դիմադրությունը 3.0սմ H2O (60լ/րոպեի դեպքում), մեռյալ տարածությունը ոչ ավել 32 մլ</w:t>
            </w:r>
            <w:r w:rsidR="0077653E" w:rsidRPr="00D929A2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D929A2">
              <w:rPr>
                <w:rFonts w:ascii="GHEA Grapalat" w:hAnsi="GHEA Grapalat"/>
                <w:sz w:val="14"/>
                <w:szCs w:val="14"/>
              </w:rPr>
              <w:t>Միանվագ օգտագործման, ստերիլ է, ապիրոգեն, ոչ տոքսիկ: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Վիրափողերի (դրենաժների)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Շնչական կոնտուր մեծահասակի, անեսթեզիայի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պլաստմասսայից, երկարությունը ոչ պակաս 152սմ,  միացման չափսը 15/22, ճկուն է, սակայն չծալվող, ունի  բիֆուրկացիոն կոննեկտորով  միացած երկու խողովակ,  անկյունային կոննեկտոր, բակտերիովիրուսային զտիչ, առնվազն 3լ պահեստային պարկ: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Արյան փորձանմուշի վերցման նշտարներ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Լանցետ Blood Lancets N200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N200 կամ այլ քանակի փաթեթավորումով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Բժշկական այլ գործիքներ և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CO2  աբսորբեր շնչական սարքերի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Պլաստիկե պարկ 5լ, գրանուլների չափսը 4/8M, չպետք է լինի փոշենման, փոքր գրանուլներ: Բաղադրությունը Ca հիդրօքսիդ 80%, Na հիդրօքսիդ 4%, էթիլային PH ինդիկատոր: Գունային փոփոխությունը դարձելի է ՝սպիտակ /մանուշակագույն /սպիտակ: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Բժշկական այլ գործիքներ և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CO2  աբսորբեր շնչական սարքերի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Պլաստիկե պարկ 5լ, գրանուլների չափսը 4/8M, չպետք է լինի փոշենման, փոքր գրանուլներ: Բաղադրությունը Ca հիդրօքսիդ 80%, Na հիդրօքսիդ 4%, էթիլային PH ինդիկատոր: Նախատեսված է ցածր հոսքային անեսթեզիաների համար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Շպատել փայտե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Շպատել փայտյա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Փայտյա N100 կամ այլ քանակի գործարանային փաթեթավորումով տուփ,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Զտիչ բակտերիո-վիրուսային, ջերմա-խոնավա-փոխանակային շնչական կոնտուրի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Բակտերիովիրուսային, ջերմա-խոնավա-փոխանակային հեպա ֆիլտր շնչառական կոնտուրի համար: Պատրաստված է թափանցիկ պլաստմասսայից, միացման չափսը 15/15-22,զտիչը բակտերիո-վիրուսային, հիդրոֆոբ-մեմբրանային, ֆիլտրացիայի աստիճանը 99.999% 24ժամ ԹԱՇ-ի համար, քաշը 29գ-ից ոչ ավել, հոսքի դիմադրությունը 3.3սմ H2O (60լ/րոպեի դեպքում), մեռյալ տարածությունը ոչ ավել 45 մլ, գազանալիզատորի պորտի առկայությամբ: Միանվագ օգտագործման, ստերիլ է, ապիրոգեն, ոչ տոքսիկ: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Տաքացնող վերմակ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են մարմնի վերին հատվածի տաքացման համար: Պատրաստված է երկշերտ սինթետիկ Spunbound նյութից,արտաքինից պատված չվառվող, կենսաբանորեն իներտ, անջրաթափանց նյութից,ունի պարանոցային կտրվածք: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Տաքացնող վերմակ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են մարմնի ստորին հատվածի տաքացման համար: Պատրաստված է երկշերտ սինթետիկ Spunbound նյութից,արտաքինից պատված չվառվող,կենսաբանորեն իներտ, անջրաթափանց նյութից: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Տաքացնող վերմակ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են ամբողջ մարմնի տաքացման համար: Պատրաստված է երկշերտ սինթետիկ Spunbound նյութից, արտաքինից պապված չվառվող,կենսաբանորեն իներտ, անջրաթափանց նյութից,ունի պարանոցային կտրվածք: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 w:cs="GHEA Grapalat"/>
                <w:sz w:val="14"/>
                <w:szCs w:val="14"/>
              </w:rPr>
              <w:t>Պերֆուզորի գիծ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Պոլիվինիլքլորիդից պատրաստված, լուեր լոք ծայրով խողովակ, առնվազն 150սմ երկարությամբ, թափանցիկ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Եռուղի 360* տարբեր գույների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Ինֆուզիոն փական-եռուղի 360 աստ.Փականի դիրքերի փոփոխության տակտիլ զգացումով: Եռուղին թափանցիկ է, ունի կարմիր, կապույտ, սպիտակ, դեղին, կանաչ գունային տարբերակներով փականներ: Մուտքային խողովակը լուեր լոք հերմետիկ տիպի, փակված ժամանակավոր փակիչով: ելքային խողովակները լուեր Լոք  և լուեր սլիպ միացման հնարավորությամբ, փակիչներով: Լցման ծավալը 0.22 մլ:   45 PSI,(3 bar) ճնշման պահման հնարավորություն: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25G ինտրադյուսերով Sprotte, երկ-150մմ, սմ-ային սանդղակով, տրամագիծը-0.5մմ, ինտրադյուսերը 0.8մմ,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25G ինտրադյուսերով Sprotte, երկ-120մմ, սմ-ային սանդղակով, տրամագիծը-0.5մմ, ինտրադյուսերը 0.8մմ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29G ինտրադյուսերով, Sprotte երկ-90մմ, տրամագիծը-0.33մմ,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անզգայացման ասեղ Տուոհի տիպի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Տուոհի տիպի էպիդուրալ ասեղ չափսը 18G-1.2մմ,երկարությունը 150 մմ, սմ-ային սանդղակով, պողպատե ստիլետով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44.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Տուոխի մեպալոպլաստիկ ասեղ՝18 G 80mm, նշագծված,միացվող թևիկներով: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26G ինտրադյուսերով Pencil point երկ-90մմ տրամագիծը-0.45մմ, ինտրադյուսերը 20G,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25G ինտրադյուսերով Sprotte երկ-90մմ տրամագիծը-0.5մմ, ինտրադյուսերը 0.8մմ,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27G Sprotte տիպի ինտրադյուսերով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27G ինտրադյուսերով Sprotte երկ-90մմ տրամագիծը-0.4մմ, ինտրադյուսերը 0.7մմ,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Էնդոտրախեալ փողի ֆիքսատոր մեծ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Օռալ/նազալ Էնդոտրախեալ փողի ֆիքսատոր փափուկ, չկտրվող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ֆիքսատոր մեծ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ֆիքսատոր փափուկ, չկտրվող, առանձին ստերիլ փաթեթավորումով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անզգայացման հավաքածու- մինիպակ ֆիքսատրով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Պետք է պարունակի Տուոխի մեպալոպլաստիկ ասեղ՝ 18 G 80mm, նշագծված,միացվող թևիկներով: Պոլիամիդային կաթետեր՝ նշագծված, կլոր ծայրով և 3 անցքով: Կաթետերի ներարկման միացուցիչ ամուր ֆիքսման հնարավորությամբ`«snap-lock», ներարկման ժամանակ անեսթետիկի արտահոսքի բացառմամբ, գունային և ինքնակպչուն «ԷՊԻԴՈՒՐԱԼ»  տարբերակմամբ: Ցածր դիմադրությամբ ներարկիչ՝ 10մլ հետընթացի սահմանափակիչով: Բակտերիովիրուսային ֆիլտր 0.2մկմ, երկկողմ ֆիլտրացիայով : Կոննեկտոր «Լուեր», կաթետերի ուղղորդիչ:Կաթետերի ֆիքսատոր պունկցիայի մասում ֆիքսման համար, ծակոտկեն փափուկ հիմքով, մի կողմից կպչուն մակերեսով, մյուսին՝ կոշտ պլաստիկե փական սեղմակ կաթետերը ուղիղ անկյան տակ ֆիքսելու համար, որը կանխում է կաթետերի պատահական տեղաշարժումը և ծալումը: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անզգայացման հավաքածու- մինիպակ ֆիքսատրով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Պետք է պարունակի Տուոխի մեպալոպլաստիկ ասեղ՝16 G 80mm, նշագծված,միացվող թևիկներով: Պոլիամիդային կաթետեր՝ նշագծված, կլոր ծայրով և 3 անցքով: Կաթետերի ներարկման միացուցիչ ամուր ֆիքսման հնարավորությամբ` «snap-lock», ներարկման ժամանակ անեսթետիկի արտահոսքի բացառմամբ, գունային և ինքնակպչուն, «ԷՊԻԴՈՒՐԱԼ»  տարբերակմամբ: Ցածր դիմադրությամբ ներարկիչ՝ 10մլ հետընթացի սահմանափակիչով: Բակտերիովիրուսային ֆիլտր 0.2մկմ, երկկողմ ֆիլտրացիայով : Կոննեկտոր «Լուեր», կաթետերի ուղղորդիչ:Կաթետերի ֆիքսատոր պունկցիայի մասում ֆիքսման համար, ծակոտկեն փափուկ հիմքով, մի կողմից կպչուն մակերեսով, մյուսին՝ կոշտ պլաստիկե փական սեղմակ կաթետերը ուղիղ անկյան տակ ֆիքսելու համար, որը կանխում է կաթետերի պատահական տեղաշարժումը և ծալումը: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Շնչական կոնտուր մեծահասակի, անեսթեզիայի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պլաստմասայից, երկարությունը 183սմ, միացման չափսը 15/22, պետք է լինի ճկուն, սակայն չծալվող, ունենա բիֆուրկացիոն կոննեկտորով միացած երկու խողովակ, անկյունային կոննեկտոր, գազերի մոնիտորինգի պորտ, առնվազն 3լ պահեստային պարկ: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Փակ ասպիրացիոն համակարգ՝ «Suction Pro 72» տրախեոստոմիկ փողի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Փակ ասպիրացիոն համակարգը նախատեսված է առանց շնչական կոնտուրի հերմետիկությունը խախտելու առնվազն 72 ժամ շնչական համակարգի սանացիայի իրականցնելու համր; Ունի իրրիգացիայի համար լրացուցիչ ուղի: Ունի ասպիրացիոն կատետրի թեքված ծայր: Նախատեսված է տրախեոստոմիկ փողի համար: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Փակ ասպիրացիոն համակարգ           «Suction Pro 72» էնդոտրախեալ փողի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Փակ ասպիրացիոն համակարգը նախատեսված է առանց շնչական կոնտուրի հերմետիկությունը խախտելու առնվազն 72 ժամ շնչական համակարգի սանացիայի իրականցնելու համր; Ունի իրրիգացիայի համար լրացուցիչ ուղի: Ունի ասպիրացիոն կատետրի թեքված ծայր: Նախատեսված է էնդոտրախեալ փողի համար: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սեղմակով, նախատեսված է անհետաձգելի տրախեոստոմիայի համար, պարունակում է տեղադրման համար անհրաժեշտ բոլոր պարագաները: Չափսը 7.0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սեղմակով, նախատեսված է անհետաձգելի տրախեոստոմիայի համար, պարունակում է տեղադրման համար անհրաժեշտ բոլոր պարագաները: Չափսը 8.0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սեղմակով, նախատեսված է անհետաձգելի տրախեոստոմիայի համար, պարունակում է տեղադրման համար  անհրաժեշտ բոլոր պարագաները: Չափսը 9.0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Կոննեկտոր շնչական, գոֆրեային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Հատուկ բարձրորակ պլաստմասից, գոֆրեաձև ոչ պակաս քան 20 սմ երկարությամբ, թեքվելուց չծալվող, լուսանցքը չփակվող: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Կոննեկտոր շնչական, գոֆրեային, անկյունային, բրոնխոսկոպի պորտով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Հատուկ բարձրորակ պլաստմասից, գոֆրեաձև 90*, ներսային կոննեկտորը պտտվող, էլաստիկ–հերմետիկ փակվող մեմբրանով, թեքվելուց չծալվող, լուսանցքը չփակվող: : Հնարավորություն է տալիս առանց ԹԱՇ ընդհատման իրականացնել բրոնխոսկոպիա 5մմ բրոնխոսկոպով: Ունի CE սերտեֆիկատ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Sacett N:7.5;  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թափանցիկ,թերմոպլաստիկ, իմպլանտացիոն ոչ-տոքսիկ պոլիվինիլքլորիդից,ունի առանձին ասպիրացիոն խողովակ վերմանժետային տարածության սանացիայի համար (Sacett), մանժետը հատուկ գերնուրբ (Soft-Seal) տեսակի, տանձաձև կառուցվածքի (Profile),Փողի կտրվածքը կորացված, Մերֆիի անցքի առկայությամբ, Փողի երկայնական ռենտգեն պոզիտիվ գծի առկայությամբ: Չափը 7.5: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Sacett N:8.0; 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թափանցիկ,թերմոպլաստիկ, իմպլանտացիոն ոչ-տոքսիկ պոլիվինիլքլորիդից,ունի առանձին ասպիրացիոն խողովակ վերմանժետային տարածության սանացիայի համար (Sacett), մանժետը հատուկ գերնուրբ (Soft-Seal) տեսակի, տանձաձև կառուցվածքի (Profile),Փողի կտրվածքը կորացված, Մերֆիի անցքի առկայությամբ, Փողի երկայնական ռենտգեն պոզիտիվ գծի առկայությամբ: Չափը 8.0: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Անզգայացման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 xml:space="preserve">Ներշնչափողային փող Sacett N:8.5;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 xml:space="preserve">Պատրաստված է թափանցիկ,թերմոպլաստիկ, իմպլանտացիոն ոչ-տոքսիկ պոլիվինիլքլորիդից,ունի առանձին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ասպիրացիոն խողովակ վերմանժետային տարածության սանացիայի համար (Sacett), մանժետը հատուկ գերնուրբ (Soft-Seal) տեսակի, տանձաձև կառուցվածքի (Profile),Փողի կտրվածքը կորացված, Մերֆիի անցքի առկայությամբ, Փողի երկայնական ռենտգեն պոզիտիվ գծի առկայությամբ: Չափը 8.5: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63.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Sacett N:9.0 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թափանցիկ,թերմոպլաստիկ, իմպլանտացիոն ոչ-տոքսիկ պոլիվինիլքլորիդից,ունի առանձին ասպիրացիոն խողովակ վերմանժետային տարածության սանացիայի համար (Sacett), մանժետը հատուկ գերնուրբ (Soft-Seal) տեսակի, տանձաձև կառուցվածքի (Profile),Փողի կտրվածքը կորացված, Մերֆիի անցքի առկայությամբ, Փողի երկայնական ռենտգեն պոզիտիվ գծի առկայությամբ: Չափը 9.0: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հավաքածու, արմիրացված, երկարության փոփոխման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 երկարության փոփոխման հնարավորությամբ, Պատրաստված է թափանցիկ,թերմոպլաստիկ, իմպլանտացիոն ոչ-տոքսիկ պոլիվինիլքլորիդից մանժետը հատուկ գերնուրբ (Soft-Seal) տեսակի, տանձաձև կառուցվածքի (Profile), Չափսը 7.0: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հավաքածու, արմիրացված, երկարության փոփոխման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 երկարության փոփոխման հնարավորությամբ, Պատրաստված է թափանցիկ,թերմոպլաստիկ, իմպլանտացիոն ոչ-տոքսիկ պոլիվինիլքլորիդից մանժետը հատուկ գերնուրբ (Soft-Seal) տեսակի, տանձաձև կառուցվածքի (Profile), Չափսը 8.0: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Կրիկոթիրեոիդոտոմիայի հավաքածու PCK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հրատապ,անհետաձգելի կոնիկոտոմիայի համար: Կոմպակտ պլաստիկե փաթեթի մեջ պետք է լինի՝ նշտար,ներարկիչ 10մլ,թերմոպլաստիկ փող 6.0մմ Soft-Seal մանժետով, ախտորոշիչ հատվածով ասեղ, դիլատատոր, բժշկկան թել ատրավմատիկ ասեղով, զտիչ Termovent (արհեստական քիթ), ֆիքսելու համար երիզ: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Շնչական կոնտուր մեծահասակի  60 “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պլաստմասայից, երկարությունը առնվազն 152սմ, միացման չափսը 15/22, ճկուն է, ունի երկու խողովակ՝ միացած բիֆուրկացիոն կոննեկտորով,  անկյունային կոննեկտոր, գազանալիզի պորտ, առնվազն 3լ պարկ: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Ինտուբացիոն ստիլետ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ճկուն ալյումինային համաձուլվածքից՝ պատված պոլիէթիլենով,պետք է լինի նուրբ ատրավմատիկ դիստալ ծայրով: Նախատեսված է ներշնչափողային փողին անհրաժեշտ կոշտություն և ձև տալու համար: Չափսը 100 (225x2.0mm, 2.5-4.5 փողերի համար):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Ինտուբացիոն ստիլետ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ճկուն ալյումինային համաձուլվածքից՝ պատված պոլիէթիլենով,պետք է լինի նուրբ ատրավմատիկ դիստալ ծայրով: Նախատեսված է ներշնչափողային փողին անհրաժեշտ կոշտություն և ձև տալու համար: Չափսը 200 (335x4.0mm, 5.0-8.0 փողերի համար),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Ինտուբացիոն ստիլետ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ճկուն ալյումինային համաձուլվածքից՝ պատված պոլիէթիլենով,պետք է լինի նուրբ ատրավմատիկ դիստալ ծայրով: Նախատեսված է ներշնչափողային փողին անհրաժեշտ կոշտություն և ձև տալու համար: Չափսը 300 (365x5.0mm, 8.5-9.0 փողերի համար)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Տուրնիկետ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արյան վերցման օժանդակման համար, ամուր, էլաստիկ նյութից է, միացված պլաստմասե սեղմակով: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ԱՄԲՈՒ տիպի շնչական պարկ մեծահասակի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Պարկը 1500-1800մլ, պահեստային պարկը 2500-2700 մլ; 40սմ H2O ճնշում ապահովող, առնվազն 200սմ Օ2 խողովակով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անզգայացման հավաքածու- մինիպակ ֆիքսատրով երկար ասեղով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Պետք է պարունակի Տուոխի մեպալոպլաստիկ ասեղ՝18 G 110մմ, նշագծված,միացվող թևիկներով: Պոլիամիդային կաթետեր՝ նշագծված, կլոր ծայրով և 3 անցքով,: Ցածր դիմադրությամբ ներարկիչ՝ հետընթացի սահմանափակիչով: Բակտերիովիրուսային ֆիլտր 0.2մկմ, երկկողմ ֆիլտրացիայով : Կոննեկտոր «Լուեր», կաթետերի ուղղորդիչ: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Հավաքածու սպինալ-էպիդուրալ անզգայացման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Պետք է պարունակի Տուոխի մեպալոպլաստիկ ասեղ՝նշագծված,միացվող թևիկներով 18Gx80մմ: Երկար սպինալ ասեղ 27Gx127.5մմ pencil point տիպի,որը ֆիքսվում է բայոնետային համակարգով: Ցածր դիմադրությամբ ներարկիչ՝ հետընթացի սահմանափակիչով: Պոլիամիդային կաթետեր՝ նշագծված, կլոր ծայրով և 3 անցքով,ուղղորդիչով: Կոննեկտոր «Լուեր լոք»: Բակտերիովիրուսային ֆիլտր 0.2մկմ, երկկողմ ֆիլտրացիայով: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Դիմակ լարինգիալ </w:t>
            </w:r>
          </w:p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/կոկորդային/ 3,0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սիլիկոնից, ունի միաձույլ կառուցվածք, մանժետը գերփափուկ «Soft Seal» կառուցվածքի, թափանցիկ/կիսաթափանցիկ: Խողովակը թափանցիկ, ռենտգեն պոզիտիվ երկայնական գծով,չափսի և պացիենտի քաշի պարտադիր նշումով, դիմակի փչման ծավալի նշումով.15մմ կոննեկտորի առկայությամբ: Չափսերի համատասխանությունը 3.0(30-50կգ,ID-10.0,OD-15,max.cuff-30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Դիմակ լարինգիալ </w:t>
            </w:r>
          </w:p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/կոկորդային/ 4,0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սիլիկոնից, ունի միաձույլ կառուցվածք, մանժետը գերփափուկ “Soft Seal” կառուցվածքի, թափանցիկ/կիսաթափանցիկ:Խողովակը թափանցիկ, ռենտգեն պոզիտիվ երկայնական գծով,չափսի և պացիենտի քաշի պարտադիր նշումով, դիմակի փչման ծավալի նշումով.15մմ կոննեկտորի առկայությամբ: Չափսերի համատասխանությունը; 4.0(50-70կգ,ID-10.0, OD-15, max.cuff-30),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Դիմակ լարինգիալ </w:t>
            </w:r>
          </w:p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/կոկորդային/ 5,0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սիլիկոնից, ունի միաձույլ կառուցվածք, մանժետը գերփափուկ “Soft Seal” կառուցվածքի, թափանցիկ/կիսաթափանցիկ: Խողովակը թափանցիկ, ռենտգեն պոզիտիվ երկայնական գծով,չափսի և պացիենտի քաշի պարտադիր նշումով, դիմակի փչման ծավալի նշումով.15մմ կոննեկտորի առկայությամբ: Չափսերի համատասխանությունը 5.0(70-100կգ, ID-11.5,OD-16.5,max.cuff-40)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չափահասի մեծ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 փափուկ է, ունի փչման փական Չափսը՝ մեծերի մեծ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չափահասի միջին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պոլիվինիլքլորիդից,փափուկ է, ունի փչման փական Չափսը՝ մեծերի միջին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չափահասի փոքր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պոլիվինիլքլորիդից,փափուկ է, ունի փչման փական Չափսը՝ մեծերի փոքր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434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81.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մեծահասակի միջին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պոլիվինիլքլորիդից,փափուկ է, ունի փչման փական Չափսը՝ մեծերի միջին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մեծահասակի փոքր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պոլիվինիլքլորիդից,փափուկ է, ունի փչման փական Չափսը՝ մեծերի փոքր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Բժշկական օգնության միջոցներ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Տոնոմետր ֆոնէնդոսկոպով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Չափման տիրույթը` 20-300մմ. Սնդ. Սյուն,  չափման ճշտությունը +/- 3 մմ սնդ սյուն; պարունակում է` քրոմացված մանոմետր, լատեքսից պնևմոխցիկ, մետաղական ֆոնենդոսկոպ, փաթեթավորված առանձին տուփերով, որոնք պետք է պատրաստված լինեն միկրոգոֆրոկարտոնից: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Բժշկական օգնության միջոցներ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Դեղատուփ ավտոմոբիլային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Համալրված՝ -ամիակի լ-թ 10% 25մլ-1 հատ, յոդի սպիրտային լ-թ 5% 10 մլ- 1 հատ, բինտ 7մx14սմ ստերիլ -4 հատ, լեյկոպլաստ N 10 («Սանտավիկ» տեսակի կամ համարժեք)- 1 հատ, անալգին 0.5 N10 -1 տուփ, վալիդոլ N10 -1տուփ, լարան արենականգ (Էսմարխի, երկրորդ տիպի-պլասմասսե կոճակով,չափերը-մմ՝ 1400x 25x2)- 1 հատ: Փաթեթավորված՝ կաշվի փոխարինիչից պատրաստված, առնվազն 200x130x70 մմ չափերի, բռնակով տուփի մեջ: Տուփը կողային մակերեսին՝ վերին մասից պետք է ունենա առնվազն 30 սմ երկարությամբ շղթայե փական (молния), իսկ  վերևի մակերեսի կենտրոնում՝ կաշվի փոխարինիչից պատրաստված սպիտակ շրջանակով կարմիր խաչ: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Էնտերալ սնուցում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Նուտրիզոն էներջի 1.5 կկալ/մլ,  500մլ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Սնունդ հատուկ բժշկական օգտագործման համար 1.5 կկալ/մլ էներգետիկ արժեքով, 500մլ ծավալով; 750կկալ/500մլ; 30գ սպիտակուց/500մլ; DHA և EPA-170մգ (օմեգա 3 ճարպաթթուներ); պարունակում է հանքային նյութեր, վիտամիններ; կարող է հանդիսանալ, որպես սննդի միակ աղբյուր; Օսմոլյարությունը 360մօսմ/լ: Էներգետիկ արժեքը բաժանված է՝ 16%-սպիտակուցներից, 49%-ածխաջրատներից, 35%-ճարպերից: Նախատեսված է 6 տարեկանից բարձր հիվանդների զոնդով կերակրման համար; լիովին պատրաստ է օգտագործման համար; բացելուց հետո կարելի է պահել սառնարանում 24 ժամ: Չի պարունակում գլուտեն և լակտոզա: 500 մլ պլաստիկե շիշ;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Քիմիական ազդանյութեր (ռեագենտներ)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Քիմ. ռեակտիվների կ-տ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Ամրացուցիչ և երևակիչ /համապատասխանաբար 10 և 20լ պատրաստի լուծույթներ ստանալու համար/, գործարանային փաթեթավորումով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Ռենտգենի կոնտրաստային նյութեր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Օմնիպակ-350 100 մլ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100մլ, կամ համարժեք, պարունակի իոհեքսոլ կամ իոդիկսանոլ նյութերը, ֆլակոն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Մեկանգամյա օգտագործման տակդիրներ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Տակդիր մեծի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50-80 կգ.-ի համար նախատեսված , n15 կամ այլ քանակի փաթեթավորումով տուփ,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ՌՕԷ պիպետկա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Ապակյա պիպետներ նմուշառման համար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Բաժակ (ջերմակայուն)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400մլ տարողությամբ, նշագծումով,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Նիշավորված շշեր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500 մլ  տարողությամբ, նշագծումով,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Նիշավորված շշեր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100 մլ  տարողությամբ, նշագծումով,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Բուտիրոմետրեր կաթնային              (0-6,0)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0-6,0  տարողությամբ, նշագծումով,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Ծածկապակի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Ապակի N100 կամ այլ քանակի, ստերիլ գործարանային փաթեթավորումով տուփ, կոտրվող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ՈՒրոմետր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ГОСТ-18481-81-ի համապատասխան, ստերիլ գործարանային փաթեթավորումով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 Լաբորատորիայի կաթոցիչներ և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Բաժակ պոլիպրոպիլենից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120մլ տարողությամբ, նշագծումով, կոտրվող,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 Լաբորատորիայի կաթոցիչներ և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Տրանսպորտային համակարգ Մ9 651 նմուշառման համար/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Մ9 651 նմուշառման համար/ստերիլ տամպոնը և փորձանոթը միջավայրով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</w:tbl>
    <w:p w:rsidR="00296480" w:rsidRPr="00296480" w:rsidRDefault="00296480" w:rsidP="00D929A2">
      <w:pPr>
        <w:jc w:val="center"/>
        <w:rPr>
          <w:b/>
          <w:sz w:val="24"/>
          <w:lang w:val="es-ES"/>
        </w:rPr>
      </w:pPr>
    </w:p>
    <w:sectPr w:rsidR="00296480" w:rsidRPr="00296480" w:rsidSect="00793CD1">
      <w:footerReference w:type="even" r:id="rId8"/>
      <w:footerReference w:type="default" r:id="rId9"/>
      <w:pgSz w:w="16838" w:h="11906" w:orient="landscape"/>
      <w:pgMar w:top="406" w:right="289" w:bottom="420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BEF" w:rsidRDefault="000E2BEF" w:rsidP="00CC598F">
      <w:pPr>
        <w:spacing w:after="0" w:line="240" w:lineRule="auto"/>
      </w:pPr>
      <w:r>
        <w:separator/>
      </w:r>
    </w:p>
  </w:endnote>
  <w:endnote w:type="continuationSeparator" w:id="1">
    <w:p w:rsidR="000E2BEF" w:rsidRDefault="000E2BEF" w:rsidP="00C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B6" w:rsidRDefault="00096E13" w:rsidP="00C9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F28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28B6" w:rsidRDefault="00BF28B6" w:rsidP="00C92C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B6" w:rsidRPr="00C70455" w:rsidRDefault="00096E13" w:rsidP="00C92CEF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C70455">
      <w:rPr>
        <w:rStyle w:val="PageNumber"/>
        <w:sz w:val="16"/>
        <w:szCs w:val="16"/>
      </w:rPr>
      <w:fldChar w:fldCharType="begin"/>
    </w:r>
    <w:r w:rsidR="00BF28B6" w:rsidRPr="00C70455">
      <w:rPr>
        <w:rStyle w:val="PageNumber"/>
        <w:sz w:val="16"/>
        <w:szCs w:val="16"/>
      </w:rPr>
      <w:instrText xml:space="preserve">PAGE  </w:instrText>
    </w:r>
    <w:r w:rsidRPr="00C70455">
      <w:rPr>
        <w:rStyle w:val="PageNumber"/>
        <w:sz w:val="16"/>
        <w:szCs w:val="16"/>
      </w:rPr>
      <w:fldChar w:fldCharType="separate"/>
    </w:r>
    <w:r w:rsidR="00152C33">
      <w:rPr>
        <w:rStyle w:val="PageNumber"/>
        <w:noProof/>
        <w:sz w:val="16"/>
        <w:szCs w:val="16"/>
      </w:rPr>
      <w:t>10</w:t>
    </w:r>
    <w:r w:rsidRPr="00C70455">
      <w:rPr>
        <w:rStyle w:val="PageNumber"/>
        <w:sz w:val="16"/>
        <w:szCs w:val="16"/>
      </w:rPr>
      <w:fldChar w:fldCharType="end"/>
    </w:r>
  </w:p>
  <w:p w:rsidR="00BF28B6" w:rsidRDefault="00BF28B6" w:rsidP="00C92CE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BEF" w:rsidRDefault="000E2BEF" w:rsidP="00CC598F">
      <w:pPr>
        <w:spacing w:after="0" w:line="240" w:lineRule="auto"/>
      </w:pPr>
      <w:r>
        <w:separator/>
      </w:r>
    </w:p>
  </w:footnote>
  <w:footnote w:type="continuationSeparator" w:id="1">
    <w:p w:rsidR="000E2BEF" w:rsidRDefault="000E2BEF" w:rsidP="00CC5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B4E"/>
    <w:multiLevelType w:val="hybridMultilevel"/>
    <w:tmpl w:val="9070AA5E"/>
    <w:lvl w:ilvl="0" w:tplc="B89015FA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79C7E6F"/>
    <w:multiLevelType w:val="hybridMultilevel"/>
    <w:tmpl w:val="8800D2F8"/>
    <w:lvl w:ilvl="0" w:tplc="F67230EE">
      <w:start w:val="1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01459"/>
    <w:multiLevelType w:val="hybridMultilevel"/>
    <w:tmpl w:val="29B4212E"/>
    <w:lvl w:ilvl="0" w:tplc="0CAEBD8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408146C1"/>
    <w:multiLevelType w:val="hybridMultilevel"/>
    <w:tmpl w:val="1AD23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25183"/>
    <w:multiLevelType w:val="hybridMultilevel"/>
    <w:tmpl w:val="C02AB22C"/>
    <w:lvl w:ilvl="0" w:tplc="FBCC7062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0046434"/>
    <w:multiLevelType w:val="hybridMultilevel"/>
    <w:tmpl w:val="EA46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4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EA706A"/>
    <w:multiLevelType w:val="hybridMultilevel"/>
    <w:tmpl w:val="F5EE75D0"/>
    <w:lvl w:ilvl="0" w:tplc="1876C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>
    <w:nsid w:val="711204FC"/>
    <w:multiLevelType w:val="hybridMultilevel"/>
    <w:tmpl w:val="3816EDC8"/>
    <w:lvl w:ilvl="0" w:tplc="9300E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85B011E"/>
    <w:multiLevelType w:val="hybridMultilevel"/>
    <w:tmpl w:val="22403860"/>
    <w:lvl w:ilvl="0" w:tplc="F4F05834">
      <w:start w:val="1"/>
      <w:numFmt w:val="bullet"/>
      <w:lvlText w:val="-"/>
      <w:lvlJc w:val="left"/>
      <w:pPr>
        <w:ind w:left="974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15"/>
  </w:num>
  <w:num w:numId="5">
    <w:abstractNumId w:val="14"/>
  </w:num>
  <w:num w:numId="6">
    <w:abstractNumId w:val="5"/>
  </w:num>
  <w:num w:numId="7">
    <w:abstractNumId w:val="13"/>
  </w:num>
  <w:num w:numId="8">
    <w:abstractNumId w:val="8"/>
  </w:num>
  <w:num w:numId="9">
    <w:abstractNumId w:val="16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2"/>
  </w:num>
  <w:num w:numId="16">
    <w:abstractNumId w:val="21"/>
  </w:num>
  <w:num w:numId="17">
    <w:abstractNumId w:val="17"/>
  </w:num>
  <w:num w:numId="18">
    <w:abstractNumId w:val="6"/>
  </w:num>
  <w:num w:numId="19">
    <w:abstractNumId w:val="19"/>
  </w:num>
  <w:num w:numId="20">
    <w:abstractNumId w:val="7"/>
  </w:num>
  <w:num w:numId="21">
    <w:abstractNumId w:val="20"/>
  </w:num>
  <w:num w:numId="22">
    <w:abstractNumId w:val="0"/>
  </w:num>
  <w:num w:numId="23">
    <w:abstractNumId w:val="9"/>
  </w:num>
  <w:num w:numId="24">
    <w:abstractNumId w:val="10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0C9"/>
    <w:rsid w:val="00007AA6"/>
    <w:rsid w:val="00035351"/>
    <w:rsid w:val="00044BFB"/>
    <w:rsid w:val="00053E2C"/>
    <w:rsid w:val="00062CF9"/>
    <w:rsid w:val="000678F6"/>
    <w:rsid w:val="0007103E"/>
    <w:rsid w:val="000728C0"/>
    <w:rsid w:val="00074928"/>
    <w:rsid w:val="00092558"/>
    <w:rsid w:val="000955A8"/>
    <w:rsid w:val="00096E13"/>
    <w:rsid w:val="00097FEA"/>
    <w:rsid w:val="000B6520"/>
    <w:rsid w:val="000C4434"/>
    <w:rsid w:val="000D4770"/>
    <w:rsid w:val="000E2BEF"/>
    <w:rsid w:val="000F382B"/>
    <w:rsid w:val="00107F67"/>
    <w:rsid w:val="00111D0E"/>
    <w:rsid w:val="0012605E"/>
    <w:rsid w:val="001263D7"/>
    <w:rsid w:val="00152C33"/>
    <w:rsid w:val="00163D4E"/>
    <w:rsid w:val="001755D5"/>
    <w:rsid w:val="00187D18"/>
    <w:rsid w:val="001923DF"/>
    <w:rsid w:val="00194FEA"/>
    <w:rsid w:val="001A7467"/>
    <w:rsid w:val="001C4C13"/>
    <w:rsid w:val="001C51AD"/>
    <w:rsid w:val="001D1301"/>
    <w:rsid w:val="001F32AA"/>
    <w:rsid w:val="00223C1B"/>
    <w:rsid w:val="002519D8"/>
    <w:rsid w:val="0025626F"/>
    <w:rsid w:val="0028471B"/>
    <w:rsid w:val="00285428"/>
    <w:rsid w:val="00286D5F"/>
    <w:rsid w:val="00296480"/>
    <w:rsid w:val="002B7622"/>
    <w:rsid w:val="002C1E2A"/>
    <w:rsid w:val="002D3012"/>
    <w:rsid w:val="002E5F66"/>
    <w:rsid w:val="002F53EE"/>
    <w:rsid w:val="0032158C"/>
    <w:rsid w:val="00346B1C"/>
    <w:rsid w:val="0034705D"/>
    <w:rsid w:val="003542D9"/>
    <w:rsid w:val="00393E5B"/>
    <w:rsid w:val="003979AD"/>
    <w:rsid w:val="003B22F9"/>
    <w:rsid w:val="003D2C6F"/>
    <w:rsid w:val="003F790B"/>
    <w:rsid w:val="00401240"/>
    <w:rsid w:val="004017D7"/>
    <w:rsid w:val="0040589D"/>
    <w:rsid w:val="00423F2E"/>
    <w:rsid w:val="0045105C"/>
    <w:rsid w:val="00452D30"/>
    <w:rsid w:val="00465B97"/>
    <w:rsid w:val="004B4D88"/>
    <w:rsid w:val="004D30C9"/>
    <w:rsid w:val="004D3B6B"/>
    <w:rsid w:val="00543DC6"/>
    <w:rsid w:val="00554D75"/>
    <w:rsid w:val="005A11A7"/>
    <w:rsid w:val="005A5A63"/>
    <w:rsid w:val="005A7BD4"/>
    <w:rsid w:val="005D7158"/>
    <w:rsid w:val="005E03E3"/>
    <w:rsid w:val="005E5CA8"/>
    <w:rsid w:val="005F0D5E"/>
    <w:rsid w:val="006104EF"/>
    <w:rsid w:val="00610A57"/>
    <w:rsid w:val="00616CC7"/>
    <w:rsid w:val="006200EA"/>
    <w:rsid w:val="00621F62"/>
    <w:rsid w:val="00631832"/>
    <w:rsid w:val="00635BE2"/>
    <w:rsid w:val="00652AB1"/>
    <w:rsid w:val="006648B0"/>
    <w:rsid w:val="00690FB5"/>
    <w:rsid w:val="006D4BFE"/>
    <w:rsid w:val="00703E44"/>
    <w:rsid w:val="0071263B"/>
    <w:rsid w:val="00737D1D"/>
    <w:rsid w:val="00744D45"/>
    <w:rsid w:val="00772363"/>
    <w:rsid w:val="0077653E"/>
    <w:rsid w:val="007769BF"/>
    <w:rsid w:val="007849F1"/>
    <w:rsid w:val="00793CD1"/>
    <w:rsid w:val="00795ACD"/>
    <w:rsid w:val="00797749"/>
    <w:rsid w:val="007A425C"/>
    <w:rsid w:val="007A5DF9"/>
    <w:rsid w:val="007C1E28"/>
    <w:rsid w:val="007E292E"/>
    <w:rsid w:val="007E7749"/>
    <w:rsid w:val="007F6926"/>
    <w:rsid w:val="008062E1"/>
    <w:rsid w:val="00811681"/>
    <w:rsid w:val="00826AC1"/>
    <w:rsid w:val="00831B27"/>
    <w:rsid w:val="00844691"/>
    <w:rsid w:val="00846593"/>
    <w:rsid w:val="0086279D"/>
    <w:rsid w:val="00864F2C"/>
    <w:rsid w:val="00867CE1"/>
    <w:rsid w:val="00887DE7"/>
    <w:rsid w:val="008C2AF3"/>
    <w:rsid w:val="008E673F"/>
    <w:rsid w:val="008F0D2A"/>
    <w:rsid w:val="00906733"/>
    <w:rsid w:val="00914C3F"/>
    <w:rsid w:val="00950B54"/>
    <w:rsid w:val="0096026A"/>
    <w:rsid w:val="00966377"/>
    <w:rsid w:val="009819EC"/>
    <w:rsid w:val="009A1902"/>
    <w:rsid w:val="009B059D"/>
    <w:rsid w:val="009C02C8"/>
    <w:rsid w:val="009C19A9"/>
    <w:rsid w:val="009C71D7"/>
    <w:rsid w:val="00A04CE9"/>
    <w:rsid w:val="00A57CF3"/>
    <w:rsid w:val="00AA7CBE"/>
    <w:rsid w:val="00AC03D9"/>
    <w:rsid w:val="00AC3291"/>
    <w:rsid w:val="00AD2570"/>
    <w:rsid w:val="00AD68A8"/>
    <w:rsid w:val="00AE1932"/>
    <w:rsid w:val="00AF2B22"/>
    <w:rsid w:val="00B43F95"/>
    <w:rsid w:val="00B477C2"/>
    <w:rsid w:val="00B51DC5"/>
    <w:rsid w:val="00B564C4"/>
    <w:rsid w:val="00B57F6E"/>
    <w:rsid w:val="00B91BEA"/>
    <w:rsid w:val="00B92E4B"/>
    <w:rsid w:val="00B95978"/>
    <w:rsid w:val="00B95AA2"/>
    <w:rsid w:val="00B9636F"/>
    <w:rsid w:val="00BA1EFA"/>
    <w:rsid w:val="00BC1887"/>
    <w:rsid w:val="00BC3192"/>
    <w:rsid w:val="00BD45E6"/>
    <w:rsid w:val="00BD6EC9"/>
    <w:rsid w:val="00BF28B6"/>
    <w:rsid w:val="00C00D05"/>
    <w:rsid w:val="00C0472F"/>
    <w:rsid w:val="00C079F6"/>
    <w:rsid w:val="00C120F8"/>
    <w:rsid w:val="00C664F5"/>
    <w:rsid w:val="00C90FE8"/>
    <w:rsid w:val="00C92CEF"/>
    <w:rsid w:val="00CA12B5"/>
    <w:rsid w:val="00CA497E"/>
    <w:rsid w:val="00CB4BF4"/>
    <w:rsid w:val="00CC598F"/>
    <w:rsid w:val="00CE3D67"/>
    <w:rsid w:val="00D20979"/>
    <w:rsid w:val="00D2152E"/>
    <w:rsid w:val="00D316D6"/>
    <w:rsid w:val="00D64625"/>
    <w:rsid w:val="00D73678"/>
    <w:rsid w:val="00D86341"/>
    <w:rsid w:val="00D929A2"/>
    <w:rsid w:val="00DB1744"/>
    <w:rsid w:val="00E15722"/>
    <w:rsid w:val="00E25254"/>
    <w:rsid w:val="00E26727"/>
    <w:rsid w:val="00E31C69"/>
    <w:rsid w:val="00E67FEB"/>
    <w:rsid w:val="00E91293"/>
    <w:rsid w:val="00E91B71"/>
    <w:rsid w:val="00E9434F"/>
    <w:rsid w:val="00ED13E2"/>
    <w:rsid w:val="00EF1D71"/>
    <w:rsid w:val="00EF64FC"/>
    <w:rsid w:val="00F01A36"/>
    <w:rsid w:val="00F07447"/>
    <w:rsid w:val="00F15357"/>
    <w:rsid w:val="00F25A14"/>
    <w:rsid w:val="00F26D6F"/>
    <w:rsid w:val="00F52073"/>
    <w:rsid w:val="00F7717E"/>
    <w:rsid w:val="00F775F0"/>
    <w:rsid w:val="00F8047C"/>
    <w:rsid w:val="00F86C8E"/>
    <w:rsid w:val="00FA0CFF"/>
    <w:rsid w:val="00FC61A3"/>
    <w:rsid w:val="00FE5AA5"/>
    <w:rsid w:val="00FE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8F"/>
  </w:style>
  <w:style w:type="paragraph" w:styleId="Heading1">
    <w:name w:val="heading 1"/>
    <w:basedOn w:val="Normal"/>
    <w:next w:val="Normal"/>
    <w:link w:val="Heading1Char"/>
    <w:qFormat/>
    <w:rsid w:val="004D30C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D30C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D30C9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4D30C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D30C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D30C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D30C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D30C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4D30C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3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D30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D30C9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4D30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D30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D30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D30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D30C9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4D30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aliases w:val="Body Text Char Char"/>
    <w:basedOn w:val="Normal"/>
    <w:link w:val="BodyTextChar"/>
    <w:rsid w:val="004D30C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aliases w:val="Body Text Char Char Char"/>
    <w:basedOn w:val="DefaultParagraphFont"/>
    <w:link w:val="BodyText"/>
    <w:rsid w:val="004D30C9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4D30C9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semiHidden/>
    <w:rsid w:val="004D30C9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D30C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4D30C9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,Char Char Char Char Char"/>
    <w:basedOn w:val="DefaultParagraphFont"/>
    <w:link w:val="BodyTextIndent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D30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4D30C9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4D30C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D30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D30C9"/>
  </w:style>
  <w:style w:type="paragraph" w:styleId="Footer">
    <w:name w:val="footer"/>
    <w:basedOn w:val="Normal"/>
    <w:link w:val="Foot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4D3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4D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4D30C9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D30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D30C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D30C9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4D30C9"/>
    <w:rPr>
      <w:color w:val="0000FF"/>
      <w:u w:val="single"/>
    </w:rPr>
  </w:style>
  <w:style w:type="paragraph" w:styleId="BlockText">
    <w:name w:val="Block Text"/>
    <w:basedOn w:val="Normal"/>
    <w:rsid w:val="004D30C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D30C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D30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30C9"/>
    <w:rPr>
      <w:b/>
      <w:bCs/>
    </w:rPr>
  </w:style>
  <w:style w:type="paragraph" w:customStyle="1" w:styleId="Char">
    <w:name w:val="Char"/>
    <w:basedOn w:val="Normal"/>
    <w:semiHidden/>
    <w:rsid w:val="004D30C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styleId="FootnoteReference">
    <w:name w:val="footnote reference"/>
    <w:rsid w:val="004D30C9"/>
    <w:rPr>
      <w:vertAlign w:val="superscript"/>
    </w:rPr>
  </w:style>
  <w:style w:type="paragraph" w:styleId="NormalWeb">
    <w:name w:val="Normal (Web)"/>
    <w:basedOn w:val="Normal"/>
    <w:uiPriority w:val="99"/>
    <w:rsid w:val="004D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4D30C9"/>
    <w:rPr>
      <w:b/>
      <w:bCs/>
    </w:rPr>
  </w:style>
  <w:style w:type="paragraph" w:customStyle="1" w:styleId="a">
    <w:name w:val="Знак Знак"/>
    <w:basedOn w:val="Normal"/>
    <w:rsid w:val="004D30C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D30C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4D30C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Default">
    <w:name w:val="Default"/>
    <w:rsid w:val="004D30C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4D30C9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CharChar22">
    <w:name w:val="Char Char22"/>
    <w:rsid w:val="004D30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30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30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30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30C9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4D30C9"/>
    <w:rPr>
      <w:vertAlign w:val="superscript"/>
    </w:rPr>
  </w:style>
  <w:style w:type="paragraph" w:styleId="DocumentMap">
    <w:name w:val="Document Map"/>
    <w:basedOn w:val="Normal"/>
    <w:link w:val="DocumentMapChar"/>
    <w:rsid w:val="004D30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4D30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4D30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30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30C9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D3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D30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D30C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D30C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D30C9"/>
    <w:rPr>
      <w:color w:val="800080"/>
      <w:u w:val="single"/>
    </w:rPr>
  </w:style>
  <w:style w:type="character" w:customStyle="1" w:styleId="CharChar4">
    <w:name w:val="Char Char4"/>
    <w:locked/>
    <w:rsid w:val="004D30C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4D30C9"/>
    <w:rPr>
      <w:i/>
      <w:iCs/>
    </w:rPr>
  </w:style>
  <w:style w:type="character" w:customStyle="1" w:styleId="apple-converted-space">
    <w:name w:val="apple-converted-space"/>
    <w:basedOn w:val="DefaultParagraphFont"/>
    <w:rsid w:val="004D30C9"/>
  </w:style>
  <w:style w:type="paragraph" w:customStyle="1" w:styleId="xl122">
    <w:name w:val="xl12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3">
    <w:name w:val="xl12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5">
    <w:name w:val="xl125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6">
    <w:name w:val="xl126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7">
    <w:name w:val="xl12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28">
    <w:name w:val="xl128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9">
    <w:name w:val="xl129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31">
    <w:name w:val="xl13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8"/>
      <w:szCs w:val="18"/>
    </w:rPr>
  </w:style>
  <w:style w:type="paragraph" w:customStyle="1" w:styleId="xl134">
    <w:name w:val="xl13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18"/>
      <w:szCs w:val="18"/>
    </w:rPr>
  </w:style>
  <w:style w:type="paragraph" w:customStyle="1" w:styleId="xl135">
    <w:name w:val="xl13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37">
    <w:name w:val="xl13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40">
    <w:name w:val="xl140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24"/>
      <w:szCs w:val="24"/>
    </w:rPr>
  </w:style>
  <w:style w:type="paragraph" w:customStyle="1" w:styleId="xl141">
    <w:name w:val="xl14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3">
    <w:name w:val="xl14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44">
    <w:name w:val="xl14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5">
    <w:name w:val="xl14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character" w:customStyle="1" w:styleId="apple-style-span">
    <w:name w:val="apple-style-span"/>
    <w:basedOn w:val="DefaultParagraphFont"/>
    <w:rsid w:val="004D30C9"/>
  </w:style>
  <w:style w:type="paragraph" w:styleId="Revision">
    <w:name w:val="Revision"/>
    <w:hidden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">
    <w:name w:val="Char Char"/>
    <w:locked/>
    <w:rsid w:val="004D30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D30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1">
    <w:name w:val="Абзац списка1"/>
    <w:basedOn w:val="Normal"/>
    <w:qFormat/>
    <w:rsid w:val="004D30C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Char221">
    <w:name w:val="Char Char221"/>
    <w:rsid w:val="00966377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966377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966377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966377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966377"/>
    <w:rPr>
      <w:rFonts w:ascii="Arial Armenian" w:hAnsi="Arial Armenian"/>
      <w:lang w:val="en-US"/>
    </w:rPr>
  </w:style>
  <w:style w:type="character" w:customStyle="1" w:styleId="CharChar231">
    <w:name w:val="Char Char23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96637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966377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6637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663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D935-62B8-45D0-97E5-0D5E60CF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16</Pages>
  <Words>9479</Words>
  <Characters>54035</Characters>
  <Application>Microsoft Office Word</Application>
  <DocSecurity>0</DocSecurity>
  <Lines>450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23</cp:revision>
  <cp:lastPrinted>2018-02-08T20:50:00Z</cp:lastPrinted>
  <dcterms:created xsi:type="dcterms:W3CDTF">2017-11-02T18:07:00Z</dcterms:created>
  <dcterms:modified xsi:type="dcterms:W3CDTF">2018-02-08T22:32:00Z</dcterms:modified>
</cp:coreProperties>
</file>